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CF7" w:rsidRDefault="003E2CF7" w:rsidP="003E2CF7">
      <w:pPr>
        <w:pStyle w:val="NormalWeb"/>
        <w:spacing w:before="0" w:beforeAutospacing="0" w:after="0" w:afterAutospacing="0"/>
        <w:ind w:left="180" w:right="236"/>
        <w:jc w:val="both"/>
      </w:pPr>
      <w:r>
        <w:rPr>
          <w:rFonts w:ascii="Arial" w:hAnsi="Arial" w:cs="Arial"/>
          <w:b/>
          <w:bCs/>
          <w:color w:val="000000"/>
          <w:sz w:val="20"/>
          <w:szCs w:val="20"/>
          <w:u w:val="single"/>
        </w:rPr>
        <w:t>LE CADRE JURIDIQUE </w:t>
      </w:r>
      <w:r>
        <w:rPr>
          <w:rFonts w:ascii="Arial" w:hAnsi="Arial" w:cs="Arial"/>
          <w:b/>
          <w:bCs/>
          <w:color w:val="000000"/>
          <w:sz w:val="20"/>
          <w:szCs w:val="20"/>
        </w:rPr>
        <w:t>:</w:t>
      </w:r>
    </w:p>
    <w:p w:rsidR="003E2CF7" w:rsidRDefault="003E2CF7" w:rsidP="003E2CF7">
      <w:pPr>
        <w:pStyle w:val="NormalWeb"/>
        <w:spacing w:before="0" w:beforeAutospacing="0" w:after="0" w:afterAutospacing="0"/>
        <w:ind w:left="180" w:right="236"/>
        <w:jc w:val="both"/>
      </w:pPr>
    </w:p>
    <w:p w:rsidR="003E2CF7" w:rsidRDefault="003E2CF7" w:rsidP="003E2CF7">
      <w:pPr>
        <w:pStyle w:val="NormalWeb"/>
        <w:ind w:left="180"/>
      </w:pPr>
      <w:r>
        <w:rPr>
          <w:rFonts w:ascii="Arial" w:hAnsi="Arial" w:cs="Arial"/>
          <w:color w:val="000000"/>
          <w:sz w:val="20"/>
          <w:szCs w:val="20"/>
        </w:rPr>
        <w:t> </w:t>
      </w:r>
    </w:p>
    <w:p w:rsidR="003E2CF7" w:rsidRDefault="003E2CF7" w:rsidP="003E2CF7">
      <w:pPr>
        <w:pStyle w:val="NormalWeb"/>
        <w:ind w:left="180"/>
      </w:pPr>
      <w:r>
        <w:rPr>
          <w:rFonts w:ascii="Arial" w:hAnsi="Arial" w:cs="Arial"/>
          <w:color w:val="000000"/>
          <w:sz w:val="20"/>
          <w:szCs w:val="20"/>
        </w:rPr>
        <w:t>L’article 552-12 du CESEDA :</w:t>
      </w:r>
    </w:p>
    <w:p w:rsidR="003E2CF7" w:rsidRDefault="003E2CF7" w:rsidP="003E2CF7">
      <w:pPr>
        <w:pStyle w:val="NormalWeb"/>
        <w:spacing w:before="120" w:beforeAutospacing="0" w:after="120" w:afterAutospacing="0"/>
        <w:ind w:left="1215" w:right="248"/>
        <w:jc w:val="both"/>
      </w:pPr>
      <w:r>
        <w:rPr>
          <w:rFonts w:ascii="Arial" w:hAnsi="Arial" w:cs="Arial"/>
          <w:color w:val="000000"/>
          <w:sz w:val="20"/>
          <w:szCs w:val="20"/>
        </w:rPr>
        <w:t>Par décision du juge prise sur une proposition de l'autorité administrative, les audiences prévues au présent chapitre peuvent se dérouler avec l'utilisation de moyens de télécommunication audiovisuelle garantissant la confidentialité de la transmission. Il est alors dressé, dans chacune des deux salles d'audience ouvertes au public, un procès-verbal des opérations effectuées.</w:t>
      </w:r>
    </w:p>
    <w:p w:rsidR="003E2CF7" w:rsidRDefault="003E2CF7" w:rsidP="003E2CF7">
      <w:pPr>
        <w:pStyle w:val="NormalWeb"/>
        <w:ind w:left="191"/>
        <w:jc w:val="both"/>
      </w:pPr>
      <w:r>
        <w:rPr>
          <w:rFonts w:ascii="Arial" w:hAnsi="Arial" w:cs="Arial"/>
          <w:color w:val="000000"/>
          <w:sz w:val="20"/>
          <w:szCs w:val="20"/>
        </w:rPr>
        <w:t> </w:t>
      </w:r>
    </w:p>
    <w:p w:rsidR="003E2CF7" w:rsidRDefault="003E2CF7" w:rsidP="003E2CF7">
      <w:pPr>
        <w:pStyle w:val="NormalWeb"/>
        <w:ind w:left="191"/>
        <w:jc w:val="both"/>
      </w:pPr>
      <w:r>
        <w:rPr>
          <w:rFonts w:ascii="Arial" w:hAnsi="Arial" w:cs="Arial"/>
          <w:color w:val="000000"/>
          <w:sz w:val="20"/>
          <w:szCs w:val="20"/>
        </w:rPr>
        <w:t> </w:t>
      </w:r>
    </w:p>
    <w:p w:rsidR="003E2CF7" w:rsidRDefault="003E2CF7" w:rsidP="003E2CF7">
      <w:pPr>
        <w:pStyle w:val="NormalWeb"/>
        <w:ind w:left="191"/>
        <w:jc w:val="both"/>
      </w:pPr>
      <w:r>
        <w:rPr>
          <w:rFonts w:ascii="Arial" w:hAnsi="Arial" w:cs="Arial"/>
          <w:color w:val="000000"/>
          <w:sz w:val="20"/>
          <w:szCs w:val="20"/>
        </w:rPr>
        <w:t>L’article L111-12 du COJ dispose :</w:t>
      </w:r>
    </w:p>
    <w:p w:rsidR="003E2CF7" w:rsidRDefault="003E2CF7" w:rsidP="003E2CF7">
      <w:pPr>
        <w:pStyle w:val="NormalWeb"/>
        <w:spacing w:before="120" w:beforeAutospacing="0" w:after="120" w:afterAutospacing="0"/>
        <w:ind w:left="1215" w:right="529"/>
        <w:jc w:val="both"/>
      </w:pPr>
      <w:r>
        <w:rPr>
          <w:rFonts w:ascii="Arial" w:hAnsi="Arial" w:cs="Arial"/>
          <w:color w:val="000000"/>
          <w:sz w:val="20"/>
          <w:szCs w:val="20"/>
        </w:rPr>
        <w:t>Les audiences devant les juridictions judiciaires, sans préjudice des dispositions particulières du code de la santé publique du code de procédure pénale et du code de l'entrée et du séjour des étrangers et du droit d'asile, peuvent, par décision du président de la formation de jugement, d'office ou à la demande d'une partie, et avec le consentement de l'ensemble des parties, se dérouler dans plusieurs salles d'audience reliées directement par un moyen de télécommunication audiovisuelle garantissant la confidentialité de la transmission.</w:t>
      </w:r>
    </w:p>
    <w:p w:rsidR="003E2CF7" w:rsidRDefault="003E2CF7" w:rsidP="003E2CF7">
      <w:pPr>
        <w:pStyle w:val="NormalWeb"/>
        <w:spacing w:before="120" w:beforeAutospacing="0" w:after="120" w:afterAutospacing="0"/>
        <w:ind w:left="1215" w:right="529"/>
        <w:jc w:val="both"/>
      </w:pPr>
      <w:r>
        <w:rPr>
          <w:rFonts w:ascii="Arial" w:hAnsi="Arial" w:cs="Arial"/>
          <w:color w:val="000000"/>
          <w:sz w:val="20"/>
          <w:szCs w:val="20"/>
        </w:rPr>
        <w:t>L'une ou plusieurs de ces salles d'audience peuvent se trouver en dehors du ressort de la juridiction saisie.</w:t>
      </w:r>
    </w:p>
    <w:p w:rsidR="003E2CF7" w:rsidRDefault="003E2CF7" w:rsidP="003E2CF7">
      <w:pPr>
        <w:pStyle w:val="NormalWeb"/>
        <w:spacing w:before="120" w:beforeAutospacing="0" w:after="120" w:afterAutospacing="0"/>
        <w:ind w:left="1215" w:right="529"/>
        <w:jc w:val="both"/>
      </w:pPr>
      <w:r>
        <w:rPr>
          <w:rFonts w:ascii="Arial" w:hAnsi="Arial" w:cs="Arial"/>
          <w:color w:val="000000"/>
          <w:sz w:val="20"/>
          <w:szCs w:val="20"/>
        </w:rPr>
        <w:t>Pour la tenue des débats en audience publique, chacune des salles d'audience est ouverte au public. Pour la tenue des débats en chambre du conseil, il est procédé hors la présence du public dans chacune des salles d'audience.</w:t>
      </w:r>
    </w:p>
    <w:p w:rsidR="003E2CF7" w:rsidRDefault="003E2CF7" w:rsidP="003E2CF7">
      <w:pPr>
        <w:pStyle w:val="NormalWeb"/>
        <w:spacing w:before="120" w:beforeAutospacing="0" w:after="120" w:afterAutospacing="0"/>
        <w:ind w:left="1215" w:right="529"/>
        <w:jc w:val="both"/>
      </w:pPr>
      <w:r>
        <w:rPr>
          <w:rFonts w:ascii="Arial" w:hAnsi="Arial" w:cs="Arial"/>
          <w:color w:val="000000"/>
          <w:sz w:val="20"/>
          <w:szCs w:val="20"/>
        </w:rPr>
        <w:t xml:space="preserve">Les prises de vue et les prises de son ne peuvent faire l'objet d'aucun enregistrement ni d'aucune fixation, hors le cas prévu par les </w:t>
      </w:r>
      <w:hyperlink r:id="rId4" w:history="1">
        <w:r>
          <w:rPr>
            <w:rStyle w:val="Lienhypertexte"/>
            <w:rFonts w:ascii="Arial" w:hAnsi="Arial" w:cs="Arial"/>
            <w:color w:val="000000"/>
            <w:sz w:val="20"/>
            <w:szCs w:val="20"/>
          </w:rPr>
          <w:t>articles L. 221-1 et suivants du code du patrimoine</w:t>
        </w:r>
      </w:hyperlink>
      <w:r>
        <w:rPr>
          <w:rFonts w:ascii="Arial" w:hAnsi="Arial" w:cs="Arial"/>
          <w:color w:val="000000"/>
          <w:sz w:val="20"/>
          <w:szCs w:val="20"/>
        </w:rPr>
        <w:t>.</w:t>
      </w:r>
    </w:p>
    <w:p w:rsidR="003E2CF7" w:rsidRDefault="003E2CF7" w:rsidP="003E2CF7">
      <w:pPr>
        <w:pStyle w:val="NormalWeb"/>
        <w:spacing w:before="120" w:beforeAutospacing="0" w:after="120" w:afterAutospacing="0"/>
        <w:ind w:left="1215" w:right="529"/>
        <w:jc w:val="both"/>
      </w:pPr>
      <w:r>
        <w:rPr>
          <w:rFonts w:ascii="Arial" w:hAnsi="Arial" w:cs="Arial"/>
          <w:color w:val="000000"/>
          <w:sz w:val="20"/>
          <w:szCs w:val="20"/>
        </w:rPr>
        <w:t>Les modalités d'application du présent article sont fixées par décret en Conseil d'Etat.</w:t>
      </w:r>
    </w:p>
    <w:p w:rsidR="003E2CF7" w:rsidRDefault="003E2CF7" w:rsidP="003E2CF7">
      <w:pPr>
        <w:pStyle w:val="NormalWeb"/>
        <w:ind w:left="214"/>
      </w:pPr>
      <w:r>
        <w:rPr>
          <w:rFonts w:ascii="Arial" w:hAnsi="Arial" w:cs="Arial"/>
          <w:color w:val="000000"/>
          <w:sz w:val="20"/>
          <w:szCs w:val="20"/>
        </w:rPr>
        <w:t> </w:t>
      </w:r>
    </w:p>
    <w:p w:rsidR="003E2CF7" w:rsidRDefault="003E2CF7" w:rsidP="003E2CF7">
      <w:pPr>
        <w:pStyle w:val="NormalWeb"/>
        <w:ind w:left="214"/>
      </w:pPr>
      <w:r>
        <w:rPr>
          <w:rFonts w:ascii="Arial" w:hAnsi="Arial" w:cs="Arial"/>
          <w:color w:val="000000"/>
          <w:sz w:val="20"/>
          <w:szCs w:val="20"/>
        </w:rPr>
        <w:t> </w:t>
      </w:r>
    </w:p>
    <w:p w:rsidR="003E2CF7" w:rsidRDefault="003E2CF7" w:rsidP="003E2CF7">
      <w:pPr>
        <w:pStyle w:val="NormalWeb"/>
        <w:ind w:left="214"/>
      </w:pPr>
      <w:r>
        <w:rPr>
          <w:rFonts w:ascii="Arial" w:hAnsi="Arial" w:cs="Arial"/>
          <w:color w:val="000000"/>
          <w:sz w:val="20"/>
          <w:szCs w:val="20"/>
        </w:rPr>
        <w:t>L’article R111-7 du COJ précise</w:t>
      </w:r>
    </w:p>
    <w:p w:rsidR="003E2CF7" w:rsidRDefault="003E2CF7" w:rsidP="003E2CF7">
      <w:pPr>
        <w:pStyle w:val="NormalWeb"/>
        <w:spacing w:before="120" w:beforeAutospacing="0" w:after="120" w:afterAutospacing="0"/>
        <w:ind w:left="1215" w:right="506"/>
        <w:jc w:val="both"/>
      </w:pPr>
      <w:r>
        <w:rPr>
          <w:rFonts w:ascii="Arial" w:hAnsi="Arial" w:cs="Arial"/>
          <w:color w:val="000000"/>
          <w:sz w:val="20"/>
          <w:szCs w:val="20"/>
        </w:rPr>
        <w:t xml:space="preserve">La décision du président de la formation de jugement prise en application de l'article </w:t>
      </w:r>
      <w:hyperlink r:id="rId5" w:history="1">
        <w:r>
          <w:rPr>
            <w:rStyle w:val="Lienhypertexte"/>
            <w:rFonts w:ascii="Arial" w:hAnsi="Arial" w:cs="Arial"/>
            <w:color w:val="000000"/>
            <w:sz w:val="20"/>
            <w:szCs w:val="20"/>
          </w:rPr>
          <w:t>L. 111-12</w:t>
        </w:r>
      </w:hyperlink>
      <w:r>
        <w:rPr>
          <w:rFonts w:ascii="Arial" w:hAnsi="Arial" w:cs="Arial"/>
          <w:color w:val="000000"/>
          <w:sz w:val="20"/>
          <w:szCs w:val="20"/>
        </w:rPr>
        <w:t xml:space="preserve"> est une mesure d'administration judiciaire.</w:t>
      </w:r>
    </w:p>
    <w:p w:rsidR="003E2CF7" w:rsidRDefault="003E2CF7" w:rsidP="003E2CF7">
      <w:pPr>
        <w:pStyle w:val="NormalWeb"/>
        <w:spacing w:before="120" w:beforeAutospacing="0" w:after="120" w:afterAutospacing="0"/>
        <w:ind w:left="1215" w:right="506"/>
        <w:jc w:val="both"/>
      </w:pPr>
      <w:r>
        <w:rPr>
          <w:rFonts w:ascii="Arial" w:hAnsi="Arial" w:cs="Arial"/>
          <w:color w:val="000000"/>
          <w:sz w:val="20"/>
          <w:szCs w:val="20"/>
        </w:rPr>
        <w:t>Les caractéristiques techniques des moyens de télécommunication audiovisuelle utilisés doivent assurer une transmission fidèle, loyale et confidentielle à l'égard des tiers. Elles sont définies par arrêté du garde des sceaux, ministre de la justice.</w:t>
      </w:r>
    </w:p>
    <w:p w:rsidR="003E2CF7" w:rsidRDefault="003E2CF7" w:rsidP="003E2CF7">
      <w:pPr>
        <w:pStyle w:val="NormalWeb"/>
        <w:spacing w:before="120" w:beforeAutospacing="0" w:after="120" w:afterAutospacing="0"/>
        <w:ind w:left="1215" w:right="506"/>
        <w:jc w:val="both"/>
      </w:pPr>
      <w:r>
        <w:rPr>
          <w:rFonts w:ascii="Arial" w:hAnsi="Arial" w:cs="Arial"/>
          <w:color w:val="000000"/>
          <w:sz w:val="20"/>
          <w:szCs w:val="20"/>
        </w:rPr>
        <w:t>Il est dressé procès-verbal de tout incident technique ayant perturbé une transmission.</w:t>
      </w:r>
    </w:p>
    <w:p w:rsidR="003E2CF7" w:rsidRDefault="003E2CF7" w:rsidP="003E2CF7">
      <w:pPr>
        <w:pStyle w:val="NormalWeb"/>
        <w:spacing w:before="120" w:beforeAutospacing="0" w:after="120" w:afterAutospacing="0"/>
        <w:ind w:left="1215" w:right="506"/>
        <w:jc w:val="both"/>
      </w:pPr>
      <w:r>
        <w:rPr>
          <w:rFonts w:ascii="Arial" w:hAnsi="Arial" w:cs="Arial"/>
          <w:color w:val="000000"/>
          <w:sz w:val="20"/>
          <w:szCs w:val="20"/>
        </w:rPr>
        <w:t>Les prises de vue et de son sont assurées par des fonctionnaires du ministère de la justice ou, à défaut et sauf lorsque l'audience se tient en chambre du conseil, par tous autres agents titulaires et contractuels.</w:t>
      </w:r>
    </w:p>
    <w:p w:rsidR="003E2CF7" w:rsidRDefault="003E2CF7" w:rsidP="003E2CF7">
      <w:pPr>
        <w:pStyle w:val="NormalWeb"/>
        <w:ind w:left="214"/>
      </w:pPr>
      <w:r>
        <w:rPr>
          <w:rFonts w:ascii="Arial" w:hAnsi="Arial" w:cs="Arial"/>
          <w:color w:val="000000"/>
          <w:sz w:val="20"/>
          <w:szCs w:val="20"/>
        </w:rPr>
        <w:lastRenderedPageBreak/>
        <w:t> </w:t>
      </w:r>
    </w:p>
    <w:p w:rsidR="003E2CF7" w:rsidRDefault="003E2CF7" w:rsidP="003E2CF7">
      <w:pPr>
        <w:pStyle w:val="NormalWeb"/>
        <w:ind w:left="214"/>
      </w:pPr>
      <w:r>
        <w:rPr>
          <w:rFonts w:ascii="Arial" w:hAnsi="Arial" w:cs="Arial"/>
          <w:color w:val="000000"/>
          <w:sz w:val="20"/>
          <w:szCs w:val="20"/>
        </w:rPr>
        <w:t> </w:t>
      </w:r>
    </w:p>
    <w:p w:rsidR="003E2CF7" w:rsidRDefault="003E2CF7" w:rsidP="003E2CF7">
      <w:pPr>
        <w:pStyle w:val="NormalWeb"/>
        <w:ind w:left="214"/>
      </w:pPr>
      <w:r>
        <w:rPr>
          <w:rFonts w:ascii="Arial" w:hAnsi="Arial" w:cs="Arial"/>
          <w:color w:val="000000"/>
          <w:sz w:val="20"/>
          <w:szCs w:val="20"/>
        </w:rPr>
        <w:t>L’article D47-12-2 du code de procédure pénale dispose</w:t>
      </w:r>
    </w:p>
    <w:p w:rsidR="003E2CF7" w:rsidRDefault="003E2CF7" w:rsidP="003E2CF7">
      <w:pPr>
        <w:pStyle w:val="NormalWeb"/>
        <w:spacing w:before="120" w:beforeAutospacing="0" w:after="120" w:afterAutospacing="0"/>
        <w:ind w:left="1215" w:right="236"/>
        <w:jc w:val="both"/>
      </w:pPr>
      <w:r>
        <w:rPr>
          <w:rFonts w:ascii="Arial" w:hAnsi="Arial" w:cs="Arial"/>
          <w:color w:val="000000"/>
          <w:sz w:val="20"/>
          <w:szCs w:val="20"/>
        </w:rPr>
        <w:t xml:space="preserve">Pour l'application par le juge d'instruction ou le juge des libertés et de la détention des dispositions de </w:t>
      </w:r>
      <w:hyperlink r:id="rId6" w:history="1">
        <w:r>
          <w:rPr>
            <w:rStyle w:val="Lienhypertexte"/>
            <w:rFonts w:ascii="Arial" w:hAnsi="Arial" w:cs="Arial"/>
            <w:color w:val="000000"/>
            <w:sz w:val="20"/>
            <w:szCs w:val="20"/>
          </w:rPr>
          <w:t xml:space="preserve">l'article R. 53-37 </w:t>
        </w:r>
      </w:hyperlink>
      <w:r>
        <w:rPr>
          <w:rFonts w:ascii="Arial" w:hAnsi="Arial" w:cs="Arial"/>
          <w:color w:val="000000"/>
          <w:sz w:val="20"/>
          <w:szCs w:val="20"/>
        </w:rPr>
        <w:t>prévoyant la retranscription dans différents procès-verbaux des déclarations des personnes entendues en plusieurs points du territoire, il est procédé selon l'une des deux modalités prévues par le présent article.</w:t>
      </w:r>
    </w:p>
    <w:p w:rsidR="003E2CF7" w:rsidRDefault="003E2CF7" w:rsidP="003E2CF7">
      <w:pPr>
        <w:pStyle w:val="NormalWeb"/>
        <w:spacing w:before="120" w:beforeAutospacing="0" w:after="120" w:afterAutospacing="0"/>
        <w:ind w:left="1215" w:right="236"/>
        <w:jc w:val="both"/>
      </w:pPr>
      <w:r>
        <w:rPr>
          <w:rFonts w:ascii="Arial" w:hAnsi="Arial" w:cs="Arial"/>
          <w:color w:val="000000"/>
          <w:sz w:val="20"/>
          <w:szCs w:val="20"/>
        </w:rPr>
        <w:t>Soit deux procès-verbaux sont dressés simultanément, l'un par le magistrat et son greffier dans les locaux de la juridiction, et l'autre par un greffier sur le lieu où se trouve la personne entendue, et ils sont signés sur place par les personnes présentes.</w:t>
      </w:r>
    </w:p>
    <w:p w:rsidR="003E2CF7" w:rsidRDefault="003E2CF7" w:rsidP="003E2CF7">
      <w:pPr>
        <w:pStyle w:val="NormalWeb"/>
        <w:spacing w:before="120" w:beforeAutospacing="0" w:after="120" w:afterAutospacing="0"/>
        <w:ind w:left="1215" w:right="236"/>
        <w:jc w:val="both"/>
      </w:pPr>
      <w:r>
        <w:rPr>
          <w:rFonts w:ascii="Arial" w:hAnsi="Arial" w:cs="Arial"/>
          <w:color w:val="000000"/>
          <w:sz w:val="20"/>
          <w:szCs w:val="20"/>
        </w:rPr>
        <w:t xml:space="preserve">Soit un procès-verbal est dressé dans les locaux de la juridiction par le magistrat et son greffier, et ce document est immédiatement transmis sur le lieu où est présente la personne entendue, pour être signé par cette dernière, selon la procédure des contreseings simultanés conformément aux dispositions de </w:t>
      </w:r>
      <w:hyperlink r:id="rId7" w:history="1">
        <w:r>
          <w:rPr>
            <w:rStyle w:val="Lienhypertexte"/>
            <w:rFonts w:ascii="Arial" w:hAnsi="Arial" w:cs="Arial"/>
            <w:color w:val="000000"/>
            <w:sz w:val="20"/>
            <w:szCs w:val="20"/>
          </w:rPr>
          <w:t>l'article D. 47-12-3.</w:t>
        </w:r>
      </w:hyperlink>
      <w:r>
        <w:rPr>
          <w:rFonts w:ascii="Arial" w:hAnsi="Arial" w:cs="Arial"/>
          <w:color w:val="000000"/>
          <w:sz w:val="20"/>
          <w:szCs w:val="20"/>
        </w:rPr>
        <w:t xml:space="preserve"> Dans ce cas il n'est pas nécessaire qu'un greffier soit présent sur le lieu où se trouve la personne entendue.</w:t>
      </w:r>
    </w:p>
    <w:p w:rsidR="003E2CF7" w:rsidRDefault="003E2CF7" w:rsidP="003E2CF7">
      <w:pPr>
        <w:pStyle w:val="NormalWeb"/>
        <w:ind w:left="214"/>
      </w:pPr>
      <w:r>
        <w:rPr>
          <w:rFonts w:ascii="Arial" w:hAnsi="Arial" w:cs="Arial"/>
          <w:color w:val="000000"/>
          <w:sz w:val="20"/>
          <w:szCs w:val="20"/>
        </w:rPr>
        <w:t> </w:t>
      </w:r>
    </w:p>
    <w:p w:rsidR="003E2CF7" w:rsidRDefault="003E2CF7" w:rsidP="003E2CF7">
      <w:pPr>
        <w:pStyle w:val="NormalWeb"/>
        <w:ind w:left="214"/>
      </w:pPr>
      <w:r>
        <w:rPr>
          <w:rFonts w:ascii="Arial" w:hAnsi="Arial" w:cs="Arial"/>
          <w:color w:val="000000"/>
          <w:sz w:val="20"/>
          <w:szCs w:val="20"/>
        </w:rPr>
        <w:t> </w:t>
      </w:r>
    </w:p>
    <w:p w:rsidR="003E2CF7" w:rsidRDefault="003E2CF7" w:rsidP="003E2CF7">
      <w:pPr>
        <w:pStyle w:val="NormalWeb"/>
        <w:ind w:left="214"/>
      </w:pPr>
      <w:r>
        <w:rPr>
          <w:rFonts w:ascii="Arial" w:hAnsi="Arial" w:cs="Arial"/>
          <w:color w:val="000000"/>
          <w:sz w:val="20"/>
          <w:szCs w:val="20"/>
        </w:rPr>
        <w:t>L’article R733-23 du CESEDA dispose :</w:t>
      </w:r>
    </w:p>
    <w:p w:rsidR="003E2CF7" w:rsidRDefault="003E2CF7" w:rsidP="003E2CF7">
      <w:pPr>
        <w:pStyle w:val="NormalWeb"/>
        <w:spacing w:before="120" w:beforeAutospacing="0" w:after="120" w:afterAutospacing="0"/>
        <w:ind w:left="1215" w:right="146"/>
      </w:pPr>
      <w:r>
        <w:rPr>
          <w:rFonts w:ascii="Arial" w:hAnsi="Arial" w:cs="Arial"/>
          <w:color w:val="000000"/>
          <w:sz w:val="20"/>
          <w:szCs w:val="20"/>
        </w:rPr>
        <w:t>Sauf dans le cas où il est procédé à un enregistrement audiovisuel ou sonore de l'audience, un procès-verbal est rédigé par l'agent chargé du greffe dans chacune des deux salles d'audience.</w:t>
      </w:r>
    </w:p>
    <w:p w:rsidR="003E2CF7" w:rsidRDefault="003E2CF7" w:rsidP="003E2CF7">
      <w:pPr>
        <w:pStyle w:val="NormalWeb"/>
        <w:spacing w:before="120" w:beforeAutospacing="0" w:after="120" w:afterAutospacing="0"/>
        <w:ind w:left="1215" w:right="146"/>
      </w:pPr>
      <w:r>
        <w:rPr>
          <w:rFonts w:ascii="Arial" w:hAnsi="Arial" w:cs="Arial"/>
          <w:color w:val="000000"/>
          <w:sz w:val="20"/>
          <w:szCs w:val="20"/>
        </w:rPr>
        <w:t>Chacun de ces procès-verbaux mentionne :</w:t>
      </w:r>
    </w:p>
    <w:p w:rsidR="003E2CF7" w:rsidRDefault="003E2CF7" w:rsidP="003E2CF7">
      <w:pPr>
        <w:pStyle w:val="NormalWeb"/>
        <w:spacing w:before="120" w:beforeAutospacing="0" w:after="120" w:afterAutospacing="0"/>
        <w:ind w:left="1215" w:right="146"/>
      </w:pPr>
      <w:r>
        <w:rPr>
          <w:rFonts w:ascii="Arial" w:hAnsi="Arial" w:cs="Arial"/>
          <w:color w:val="000000"/>
          <w:sz w:val="20"/>
          <w:szCs w:val="20"/>
        </w:rPr>
        <w:t>-le nom et la qualité de l'agent chargé de sa rédaction ;</w:t>
      </w:r>
    </w:p>
    <w:p w:rsidR="003E2CF7" w:rsidRDefault="003E2CF7" w:rsidP="003E2CF7">
      <w:pPr>
        <w:pStyle w:val="NormalWeb"/>
      </w:pPr>
      <w:r>
        <w:rPr>
          <w:rFonts w:ascii="Arial" w:hAnsi="Arial" w:cs="Arial"/>
          <w:color w:val="000000"/>
          <w:sz w:val="20"/>
          <w:szCs w:val="20"/>
        </w:rPr>
        <w:t>-le nom du requérant et le numéro du recours ;</w:t>
      </w:r>
    </w:p>
    <w:p w:rsidR="003E2CF7" w:rsidRDefault="003E2CF7" w:rsidP="003E2CF7">
      <w:pPr>
        <w:pStyle w:val="NormalWeb"/>
        <w:spacing w:before="120" w:beforeAutospacing="0" w:after="120" w:afterAutospacing="0"/>
        <w:ind w:left="1215" w:right="214"/>
      </w:pPr>
      <w:r>
        <w:rPr>
          <w:rFonts w:ascii="Arial" w:hAnsi="Arial" w:cs="Arial"/>
          <w:color w:val="000000"/>
          <w:sz w:val="20"/>
          <w:szCs w:val="20"/>
        </w:rPr>
        <w:t>-lorsqu'il est fait appel à des agents extérieurs pour assurer la prise de son et d'image, le nom de ceux-ci ;</w:t>
      </w:r>
    </w:p>
    <w:p w:rsidR="003E2CF7" w:rsidRDefault="003E2CF7" w:rsidP="003E2CF7">
      <w:pPr>
        <w:pStyle w:val="NormalWeb"/>
        <w:spacing w:before="120" w:beforeAutospacing="0" w:after="120" w:afterAutospacing="0"/>
        <w:ind w:left="1215" w:right="214"/>
      </w:pPr>
      <w:r>
        <w:rPr>
          <w:rFonts w:ascii="Arial" w:hAnsi="Arial" w:cs="Arial"/>
          <w:color w:val="000000"/>
          <w:sz w:val="20"/>
          <w:szCs w:val="20"/>
        </w:rPr>
        <w:t>-la date et l'heure du début de la communication audiovisuelle ;</w:t>
      </w:r>
    </w:p>
    <w:p w:rsidR="003E2CF7" w:rsidRDefault="003E2CF7" w:rsidP="003E2CF7">
      <w:pPr>
        <w:pStyle w:val="NormalWeb"/>
        <w:spacing w:before="120" w:beforeAutospacing="0" w:after="120" w:afterAutospacing="0"/>
        <w:ind w:left="1215" w:right="214"/>
      </w:pPr>
      <w:r>
        <w:rPr>
          <w:rFonts w:ascii="Arial" w:hAnsi="Arial" w:cs="Arial"/>
          <w:color w:val="000000"/>
          <w:sz w:val="20"/>
          <w:szCs w:val="20"/>
        </w:rPr>
        <w:t>-les éventuels incidents techniques relevés lors de l'audience, susceptibles d'avoir perturbé la communication ;</w:t>
      </w:r>
    </w:p>
    <w:p w:rsidR="003E2CF7" w:rsidRDefault="003E2CF7" w:rsidP="003E2CF7">
      <w:pPr>
        <w:pStyle w:val="NormalWeb"/>
        <w:spacing w:before="120" w:beforeAutospacing="0" w:after="120" w:afterAutospacing="0"/>
        <w:ind w:left="1215" w:right="214"/>
      </w:pPr>
      <w:r>
        <w:rPr>
          <w:rFonts w:ascii="Arial" w:hAnsi="Arial" w:cs="Arial"/>
          <w:color w:val="000000"/>
          <w:sz w:val="20"/>
          <w:szCs w:val="20"/>
        </w:rPr>
        <w:t>-l'heure de la fin de la communication audiovisuelle.</w:t>
      </w:r>
    </w:p>
    <w:p w:rsidR="003E2CF7" w:rsidRDefault="003E2CF7" w:rsidP="003E2CF7">
      <w:pPr>
        <w:pStyle w:val="NormalWeb"/>
        <w:spacing w:before="120" w:beforeAutospacing="0" w:after="120" w:afterAutospacing="0"/>
        <w:ind w:left="1215" w:right="214"/>
      </w:pPr>
      <w:r>
        <w:rPr>
          <w:rFonts w:ascii="Arial" w:hAnsi="Arial" w:cs="Arial"/>
          <w:color w:val="000000"/>
          <w:sz w:val="20"/>
          <w:szCs w:val="20"/>
        </w:rPr>
        <w:t xml:space="preserve">Le cas échéant, sont également mentionnés le nom de l'avocat et le nom de l'interprète sur le procès-verbal établi dans la salle d'audience où ils se trouvent. </w:t>
      </w:r>
    </w:p>
    <w:p w:rsidR="003E2CF7" w:rsidRDefault="003E2CF7" w:rsidP="003E2CF7">
      <w:pPr>
        <w:pStyle w:val="NormalWeb"/>
        <w:spacing w:before="120" w:beforeAutospacing="0" w:after="120" w:afterAutospacing="0"/>
        <w:ind w:left="1114" w:right="236"/>
        <w:jc w:val="both"/>
      </w:pPr>
      <w:r>
        <w:rPr>
          <w:rFonts w:ascii="Arial" w:hAnsi="Arial" w:cs="Arial"/>
          <w:b/>
          <w:bCs/>
          <w:color w:val="000000"/>
          <w:sz w:val="20"/>
          <w:szCs w:val="20"/>
        </w:rPr>
        <w:t xml:space="preserve">Ces procès-verbaux attestent l'ouverture au public des deux salles d'audience, sous réserve </w:t>
      </w:r>
      <w:hyperlink r:id="rId8" w:history="1">
        <w:r>
          <w:rPr>
            <w:rStyle w:val="Lienhypertexte"/>
            <w:rFonts w:ascii="Arial" w:hAnsi="Arial" w:cs="Arial"/>
            <w:b/>
            <w:bCs/>
            <w:color w:val="000000"/>
            <w:sz w:val="20"/>
            <w:szCs w:val="20"/>
          </w:rPr>
          <w:t>du prononcé d'un huis-clos en application de l'article L. 733-1-1</w:t>
        </w:r>
      </w:hyperlink>
      <w:r>
        <w:rPr>
          <w:rFonts w:ascii="Arial" w:hAnsi="Arial" w:cs="Arial"/>
          <w:b/>
          <w:bCs/>
          <w:color w:val="000000"/>
          <w:sz w:val="20"/>
          <w:szCs w:val="20"/>
        </w:rPr>
        <w:t>.</w:t>
      </w:r>
    </w:p>
    <w:p w:rsidR="003E2CF7" w:rsidRDefault="003E2CF7" w:rsidP="003E2CF7">
      <w:pPr>
        <w:pStyle w:val="NormalWeb"/>
        <w:spacing w:before="120" w:beforeAutospacing="0" w:after="120" w:afterAutospacing="0"/>
        <w:ind w:right="236"/>
        <w:jc w:val="both"/>
      </w:pPr>
      <w:r>
        <w:rPr>
          <w:rFonts w:ascii="Arial" w:hAnsi="Arial" w:cs="Arial"/>
          <w:b/>
          <w:bCs/>
          <w:color w:val="000000"/>
          <w:sz w:val="20"/>
          <w:szCs w:val="20"/>
        </w:rPr>
        <w:t>Cour de cassation, Chambre civile 1, 16 avril 2008, 06-20390 :</w:t>
      </w:r>
    </w:p>
    <w:p w:rsidR="003E2CF7" w:rsidRDefault="003E2CF7" w:rsidP="003E2CF7">
      <w:pPr>
        <w:pStyle w:val="NormalWeb"/>
        <w:spacing w:before="120" w:beforeAutospacing="0" w:after="120" w:afterAutospacing="0"/>
        <w:ind w:left="1215" w:right="236"/>
        <w:jc w:val="both"/>
      </w:pPr>
      <w:r>
        <w:rPr>
          <w:rFonts w:ascii="Arial" w:hAnsi="Arial" w:cs="Arial"/>
          <w:color w:val="000000"/>
          <w:sz w:val="20"/>
          <w:szCs w:val="20"/>
        </w:rPr>
        <w:t xml:space="preserve">Attendu qu'aux termes de l'article précité, quand un délai de quarante-huit heures s'est écoulé depuis la décision de placement en rétention, le juge des libertés et de la détention est saisi aux fins de prolongation de la rétention ; qu'il statue par ordonnance au siège du tribunal de grande instance dans le ressort duquel se situe le lieu de placement en rétention de l'étranger, sauf exception prévue par voie réglementaire, après audition du représentant de l'administration, si celui-ci, dûment convoqué, est présent, et de l'intéressé en présence de son conseil, s'il en a un ; que toutefois, si une salle d'audience attribuée au ministère de la justice lui permettant de statuer </w:t>
      </w:r>
      <w:r>
        <w:rPr>
          <w:rFonts w:ascii="Arial" w:hAnsi="Arial" w:cs="Arial"/>
          <w:color w:val="000000"/>
          <w:sz w:val="20"/>
          <w:szCs w:val="20"/>
        </w:rPr>
        <w:lastRenderedPageBreak/>
        <w:t>publiquement a été spécialement aménagée à proximité immédiate de ce lieu de rétention, il statue dans cette salle ;</w:t>
      </w:r>
    </w:p>
    <w:p w:rsidR="003E2CF7" w:rsidRDefault="003E2CF7" w:rsidP="003E2CF7">
      <w:pPr>
        <w:pStyle w:val="NormalWeb"/>
        <w:spacing w:before="120" w:beforeAutospacing="0" w:after="120" w:afterAutospacing="0"/>
        <w:ind w:left="1215" w:right="236"/>
        <w:jc w:val="both"/>
      </w:pPr>
      <w:r>
        <w:rPr>
          <w:rFonts w:ascii="Arial" w:hAnsi="Arial" w:cs="Arial"/>
          <w:b/>
          <w:bCs/>
          <w:color w:val="000000"/>
          <w:sz w:val="20"/>
          <w:szCs w:val="20"/>
        </w:rPr>
        <w:t>Attendu que pour rejeter l'exception de nullité tirée d'une violation de l'article précité, le premier président a retenu que la salle d'audience était une véritable salle d'audience et non un simple bureau, spécialement aménagée, disposant d'accès et de fermetures autonomes, située dans l'enceinte commune du centre d'accès et de fermetures autonomes, située dans l'enceinte commune du centre de rétention, de la police aux frontières et du pôle judiciaire, qu'ainsi il n'existait pas de violation caractérisée des dispositions de l'article L. 552-1 du code de l'entrée et du séjour des étrangers et du droit d'asile ;</w:t>
      </w:r>
    </w:p>
    <w:p w:rsidR="003E2CF7" w:rsidRDefault="003E2CF7" w:rsidP="003E2CF7">
      <w:pPr>
        <w:pStyle w:val="NormalWeb"/>
      </w:pPr>
      <w:r>
        <w:rPr>
          <w:rFonts w:ascii="Arial" w:hAnsi="Arial" w:cs="Arial"/>
          <w:b/>
          <w:bCs/>
          <w:color w:val="000000"/>
          <w:sz w:val="20"/>
          <w:szCs w:val="20"/>
        </w:rPr>
        <w:t>Cour de cassation, 12 octobre 2011, 1024205.</w:t>
      </w:r>
    </w:p>
    <w:p w:rsidR="003E2CF7" w:rsidRDefault="003E2CF7" w:rsidP="003E2CF7">
      <w:pPr>
        <w:pStyle w:val="NormalWeb"/>
        <w:spacing w:before="120" w:beforeAutospacing="0" w:after="120" w:afterAutospacing="0"/>
        <w:ind w:left="1215" w:right="236"/>
        <w:jc w:val="both"/>
      </w:pPr>
      <w:r>
        <w:rPr>
          <w:rFonts w:ascii="Arial" w:hAnsi="Arial" w:cs="Arial"/>
          <w:color w:val="000000"/>
          <w:sz w:val="20"/>
          <w:szCs w:val="20"/>
        </w:rPr>
        <w:t xml:space="preserve">Attendu qu'ayant constaté que la salle d'audience était autonome et hors de l'enceinte du centre de rétention administrative, qu'elle était accessible au public par une porte donnant sur la voie publique et qu'une clôture la séparait du centre de rétention de sorte que l'étranger devait sortir de ce centre pour accéder à la salle d'audience, le premier président en a exactement déduit que cette salle, implantée à proximité du centre et non à l'intérieur de celui-ci, répondait aux exigences posées par l'article L. 552-1 du code de l'entrée et du séjour des étrangers et du droit d'asile et par l'article 6 § 1 de la Convention européenne des droits de l'homme ; que le grief ne peut être accueilli ; </w:t>
      </w:r>
    </w:p>
    <w:p w:rsidR="003E2CF7" w:rsidRDefault="003E2CF7" w:rsidP="003E2CF7">
      <w:pPr>
        <w:pStyle w:val="NormalWeb"/>
      </w:pPr>
      <w:r>
        <w:rPr>
          <w:rFonts w:ascii="Arial" w:hAnsi="Arial" w:cs="Arial"/>
          <w:b/>
          <w:bCs/>
          <w:color w:val="000000"/>
          <w:sz w:val="20"/>
          <w:szCs w:val="20"/>
        </w:rPr>
        <w:t>Conseil d’état, 18 novembre 2011, 335532</w:t>
      </w:r>
    </w:p>
    <w:p w:rsidR="003E2CF7" w:rsidRDefault="003E2CF7" w:rsidP="003E2CF7">
      <w:pPr>
        <w:pStyle w:val="NormalWeb"/>
        <w:spacing w:before="120" w:beforeAutospacing="0" w:after="120" w:afterAutospacing="0"/>
        <w:ind w:left="1215" w:right="270"/>
        <w:jc w:val="both"/>
      </w:pPr>
      <w:r>
        <w:rPr>
          <w:rFonts w:ascii="Arial" w:hAnsi="Arial" w:cs="Arial"/>
          <w:color w:val="000000"/>
          <w:sz w:val="20"/>
          <w:szCs w:val="20"/>
        </w:rPr>
        <w:t xml:space="preserve">Considérant qu'aux termes de l'article L. 552-1 du code de l'entrée et du séjour des étrangers en France et du droit d'asile : " Quand un délai de quarante-huit heures s'est écoulé depuis la décision de placement en rétention, le juge des libertés et de la détention est saisi aux fins de prolongation de la rétention. (...) si une salle d'audience attribuée au ministère de la justice lui permettant de statuer publiquement a été spécialement aménagée à proximité immédiate de ce lieu de rétention, il statue dans cette salle " ; que la tenue d'une audience dans une salle à proximité immédiate d'un lieu de rétention n'est, dès lors qu'elle n'est pas située dans le centre lui-même, pas contraire à l'article 6§1 de la convention européenne de sauvegarde des droits de l'homme et des libertés fondamentales ; qu'il ressort des pièces du dossier que les salles d'audience, dépendant du ministère de la justice, sont prévues en dehors des centres eux-mêmes, qu'il existe une entrée publique autonome située avant l'entrée dans les centres et que ces salles ne sont pas reliées aux bâtiments composant les centres ; que ces conditions permettent au juge de statuer publiquement, dans le respect de l'indépendance des magistrats et de la liberté des parties ; que, dès lors, les moyens tirés d'une méconnaissance des principes d'indépendance et d'impartialité de la justice ainsi que ceux tirés d'une violation du droit à un procès équitable ne peuvent qu'être écartés ; </w:t>
      </w:r>
    </w:p>
    <w:p w:rsidR="003E2CF7" w:rsidRDefault="003E2CF7" w:rsidP="003E2CF7">
      <w:pPr>
        <w:pStyle w:val="NormalWeb"/>
      </w:pPr>
      <w:r>
        <w:rPr>
          <w:rFonts w:ascii="Arial" w:hAnsi="Arial" w:cs="Arial"/>
          <w:b/>
          <w:bCs/>
          <w:color w:val="000000"/>
          <w:sz w:val="20"/>
          <w:szCs w:val="20"/>
        </w:rPr>
        <w:t>Conseil constitutionnel, décision n° 2018-770 DC du 6 septembre 2018 :</w:t>
      </w:r>
    </w:p>
    <w:p w:rsidR="003E2CF7" w:rsidRDefault="003E2CF7" w:rsidP="003E2CF7">
      <w:pPr>
        <w:pStyle w:val="NormalWeb"/>
        <w:spacing w:before="120" w:beforeAutospacing="0" w:after="120" w:afterAutospacing="0"/>
        <w:ind w:left="1215" w:right="304"/>
        <w:jc w:val="both"/>
      </w:pPr>
      <w:r>
        <w:rPr>
          <w:rFonts w:ascii="Arial" w:hAnsi="Arial" w:cs="Arial"/>
          <w:color w:val="000000"/>
          <w:sz w:val="20"/>
          <w:szCs w:val="20"/>
        </w:rPr>
        <w:t>28. (…) le recours à ces moyens de communication audiovisuelle est subordonné à la condition que soit assurée la confidentialité de la transmission entre le tribunal et la salle d'audience spécialement aménagée à cet effet, ouverte au public et située dans des locaux relevant du ministère de la justice.</w:t>
      </w:r>
    </w:p>
    <w:p w:rsidR="003E2CF7" w:rsidRDefault="003E2CF7" w:rsidP="003E2CF7">
      <w:pPr>
        <w:pStyle w:val="NormalWeb"/>
      </w:pPr>
      <w:r>
        <w:rPr>
          <w:rFonts w:ascii="Arial" w:hAnsi="Arial" w:cs="Arial"/>
          <w:b/>
          <w:bCs/>
          <w:color w:val="000000"/>
          <w:sz w:val="20"/>
          <w:szCs w:val="20"/>
        </w:rPr>
        <w:t>Cour de cassation, Chambre civile 1, 11 juillet 2018, 18-10062, Publié au bulletin :</w:t>
      </w:r>
    </w:p>
    <w:p w:rsidR="003E2CF7" w:rsidRDefault="003E2CF7" w:rsidP="003E2CF7">
      <w:pPr>
        <w:pStyle w:val="NormalWeb"/>
        <w:spacing w:before="120" w:beforeAutospacing="0" w:after="120" w:afterAutospacing="0"/>
        <w:ind w:left="1215" w:right="281"/>
        <w:jc w:val="both"/>
      </w:pPr>
      <w:r>
        <w:rPr>
          <w:rFonts w:ascii="Arial" w:hAnsi="Arial" w:cs="Arial"/>
          <w:color w:val="000000"/>
          <w:sz w:val="20"/>
          <w:szCs w:val="20"/>
        </w:rPr>
        <w:t xml:space="preserve">Mais attendu, en premier lieu, que l'ordonnance constate que l'accès au bâtiment judiciaire ne peut se faire, pour le public, que par la porte principale au-dessus de laquelle figure en lettres majuscules la mention « TRIBUNAL DE GRANDE INSTANCE DE BOBIGNY ANNEXE », et, pour les personnes maintenues en zone d'attente, par un passage extérieur situé en territoire français, conduisant à une porte signalée par l'inscription « TRIBUNAL » dans les six langues officielles de l'Organisation des </w:t>
      </w:r>
      <w:r>
        <w:rPr>
          <w:rFonts w:ascii="Arial" w:hAnsi="Arial" w:cs="Arial"/>
          <w:color w:val="000000"/>
          <w:sz w:val="20"/>
          <w:szCs w:val="20"/>
        </w:rPr>
        <w:lastRenderedPageBreak/>
        <w:t>Nations unies ; que le premier président en a exactement déduit que la proximité immédiate entre les locaux de la zone d'attente et la salle d'audience était exclusive d'une installation de celle-ci dans l'enceinte de la zone d'attente ;</w:t>
      </w:r>
    </w:p>
    <w:p w:rsidR="003E2CF7" w:rsidRDefault="003E2CF7" w:rsidP="003E2CF7">
      <w:pPr>
        <w:pStyle w:val="NormalWeb"/>
        <w:spacing w:before="120" w:beforeAutospacing="0" w:after="120" w:afterAutospacing="0"/>
        <w:ind w:left="1215" w:right="281"/>
        <w:jc w:val="both"/>
      </w:pPr>
      <w:r>
        <w:rPr>
          <w:rFonts w:ascii="Arial" w:hAnsi="Arial" w:cs="Arial"/>
          <w:color w:val="000000"/>
          <w:sz w:val="20"/>
          <w:szCs w:val="20"/>
        </w:rPr>
        <w:t>Attendu, en deuxième lieu, qu'ayant relevé que cette salle était placée sous l'autorité fonctionnelle du ministère de la justice et, localement, des chefs de juridiction, seuls à décider des modalités du contrôle des entrées confié à des agents des compagnies républicaines de sécurité, il a légalement justifié sa décision sur ce point ;</w:t>
      </w:r>
    </w:p>
    <w:p w:rsidR="003E2CF7" w:rsidRDefault="003E2CF7" w:rsidP="003E2CF7">
      <w:pPr>
        <w:pStyle w:val="NormalWeb"/>
        <w:spacing w:before="120" w:beforeAutospacing="0" w:after="120" w:afterAutospacing="0"/>
        <w:ind w:left="1215" w:right="281"/>
        <w:jc w:val="both"/>
      </w:pPr>
      <w:r>
        <w:rPr>
          <w:rFonts w:ascii="Arial" w:hAnsi="Arial" w:cs="Arial"/>
          <w:color w:val="000000"/>
          <w:sz w:val="20"/>
          <w:szCs w:val="20"/>
        </w:rPr>
        <w:t>Attendu, en troisième lieu, que l'ordonnance énonce que la localisation de la salle d'audience dans la zone aéroportuaire est prévue par la loi qui a été validée par la décision du Conseil constitutionnel n° 2003-484 DC du 20 novembre 2003 sous la réserve d'aménagement de la salle devant garantir la clarté, la sécurité, la sincérité et la publicité des débats et retient exactement que, dans ces conditions, l'installation de cette salle à proximité de la zone d'attente de l'aéroport de Roissy répond aux exigences légales de l'article L. 222-4 du CESEDA ;</w:t>
      </w:r>
    </w:p>
    <w:p w:rsidR="003E2CF7" w:rsidRDefault="003E2CF7" w:rsidP="003E2CF7">
      <w:pPr>
        <w:pStyle w:val="NormalWeb"/>
        <w:spacing w:before="120" w:beforeAutospacing="0" w:after="120" w:afterAutospacing="0"/>
        <w:ind w:left="1215" w:right="315"/>
        <w:jc w:val="both"/>
      </w:pPr>
      <w:r>
        <w:rPr>
          <w:rFonts w:ascii="Arial" w:hAnsi="Arial" w:cs="Arial"/>
          <w:color w:val="000000"/>
          <w:sz w:val="20"/>
          <w:szCs w:val="20"/>
        </w:rPr>
        <w:t>Attendu, en quatrième lieu, qu'après avoir précisé que les avocats et les parties ont accès au dossier pour préparer la défense des personnes en zone d'attente dès l'ouverture de la salle, disposent de locaux garantissant la confidentialité des entretiens, ainsi que d'une salle de travail équipée qui leur est réservée, l'ordonnance retient à bon droit que les droits de la défense peuvent s'exercer effectivement ;</w:t>
      </w:r>
    </w:p>
    <w:p w:rsidR="003E2CF7" w:rsidRDefault="003E2CF7" w:rsidP="003E2CF7">
      <w:pPr>
        <w:pStyle w:val="NormalWeb"/>
        <w:spacing w:before="120" w:beforeAutospacing="0" w:after="120" w:afterAutospacing="0"/>
        <w:ind w:left="1114" w:right="236"/>
        <w:jc w:val="both"/>
      </w:pPr>
      <w:r>
        <w:rPr>
          <w:rFonts w:ascii="Arial" w:hAnsi="Arial" w:cs="Arial"/>
          <w:b/>
          <w:bCs/>
          <w:color w:val="000000"/>
          <w:sz w:val="20"/>
          <w:szCs w:val="20"/>
        </w:rPr>
        <w:t>Attendu, en dernier lieu, qu'ayant apprécié les conditions d'exercice de la justice au regard de la nature de ce contentieux soumis à de brefs délais imposés par la loi, et estimé que rien n'établissait que ces conditions étaient meilleures au siège du tribunal, le premier président, constatant l'existence d'un juste équilibre entre les objectifs poursuivis par l'État et les moyens utilisés par ce dernier pour les atteindre, a exactement retenu que le juge, qui avait tenu l'audience dans la salle située à proximité de la zone d'attente, avait statué publiquement et dans le respect des prescriptions légales et conventionnelles ;</w:t>
      </w:r>
    </w:p>
    <w:p w:rsidR="003E2CF7" w:rsidRDefault="003E2CF7" w:rsidP="003E2CF7">
      <w:pPr>
        <w:pStyle w:val="NormalWeb"/>
        <w:spacing w:before="120" w:beforeAutospacing="0" w:after="120" w:afterAutospacing="0"/>
        <w:ind w:right="236"/>
        <w:jc w:val="both"/>
      </w:pPr>
      <w:r>
        <w:rPr>
          <w:rFonts w:ascii="Arial" w:hAnsi="Arial" w:cs="Arial"/>
          <w:color w:val="000000"/>
          <w:sz w:val="20"/>
          <w:szCs w:val="20"/>
        </w:rPr>
        <w:t>Voir également :</w:t>
      </w:r>
      <w:r>
        <w:rPr>
          <w:rFonts w:ascii="Arial" w:hAnsi="Arial" w:cs="Arial"/>
          <w:b/>
          <w:bCs/>
          <w:color w:val="000000"/>
          <w:sz w:val="20"/>
          <w:szCs w:val="20"/>
        </w:rPr>
        <w:t xml:space="preserve"> CA de Bordeaux, 20 septembre 2020, n° 20/00150</w:t>
      </w:r>
    </w:p>
    <w:p w:rsidR="003E2CF7" w:rsidRDefault="003E2CF7" w:rsidP="003E2CF7">
      <w:pPr>
        <w:pStyle w:val="NormalWeb"/>
        <w:spacing w:before="120" w:beforeAutospacing="0" w:after="120" w:afterAutospacing="0"/>
        <w:ind w:right="236"/>
        <w:jc w:val="both"/>
      </w:pPr>
      <w:r>
        <w:rPr>
          <w:rFonts w:ascii="Arial" w:hAnsi="Arial" w:cs="Arial"/>
          <w:color w:val="000000"/>
          <w:sz w:val="20"/>
          <w:szCs w:val="20"/>
        </w:rPr>
        <w:t xml:space="preserve">Textes spécifiques à la crise du </w:t>
      </w:r>
      <w:proofErr w:type="spellStart"/>
      <w:r>
        <w:rPr>
          <w:rFonts w:ascii="Arial" w:hAnsi="Arial" w:cs="Arial"/>
          <w:color w:val="000000"/>
          <w:sz w:val="20"/>
          <w:szCs w:val="20"/>
        </w:rPr>
        <w:t>Covid</w:t>
      </w:r>
      <w:proofErr w:type="spellEnd"/>
      <w:r>
        <w:rPr>
          <w:rFonts w:ascii="Arial" w:hAnsi="Arial" w:cs="Arial"/>
          <w:color w:val="000000"/>
          <w:sz w:val="20"/>
          <w:szCs w:val="20"/>
        </w:rPr>
        <w:t xml:space="preserve"> 19 – état d'urgence sanitaire :</w:t>
      </w:r>
    </w:p>
    <w:p w:rsidR="003E2CF7" w:rsidRDefault="003E2CF7" w:rsidP="003E2CF7">
      <w:pPr>
        <w:pStyle w:val="NormalWeb"/>
        <w:spacing w:before="120" w:beforeAutospacing="0" w:after="120" w:afterAutospacing="0"/>
        <w:ind w:right="236"/>
        <w:jc w:val="both"/>
      </w:pPr>
      <w:r>
        <w:rPr>
          <w:rFonts w:ascii="Arial" w:hAnsi="Arial" w:cs="Arial"/>
          <w:color w:val="000000"/>
          <w:sz w:val="20"/>
          <w:szCs w:val="20"/>
        </w:rPr>
        <w:t>Article 5 ordonnance n° 2020-1400 du 18 novembre 2020 portant adaptation des règles applicables aux juridictions de l'ordre judiciaire statuant en matière non pénale et aux copropriétés</w:t>
      </w:r>
    </w:p>
    <w:p w:rsidR="003E2CF7" w:rsidRDefault="003E2CF7" w:rsidP="003E2CF7">
      <w:pPr>
        <w:pStyle w:val="NormalWeb"/>
        <w:spacing w:before="120" w:beforeAutospacing="0" w:after="120" w:afterAutospacing="0"/>
        <w:ind w:left="574" w:right="585"/>
        <w:jc w:val="both"/>
      </w:pPr>
      <w:r>
        <w:rPr>
          <w:rFonts w:ascii="Arial" w:hAnsi="Arial" w:cs="Arial"/>
          <w:color w:val="000000"/>
          <w:sz w:val="20"/>
          <w:szCs w:val="20"/>
          <w:u w:val="single"/>
        </w:rPr>
        <w:t>Le juge</w:t>
      </w:r>
      <w:r>
        <w:rPr>
          <w:rFonts w:ascii="Arial" w:hAnsi="Arial" w:cs="Arial"/>
          <w:color w:val="000000"/>
          <w:sz w:val="20"/>
          <w:szCs w:val="20"/>
        </w:rPr>
        <w:t xml:space="preserve">, le président de la formation de jugement ou le juge des libertés et de la détention </w:t>
      </w:r>
      <w:r>
        <w:rPr>
          <w:rFonts w:ascii="Arial" w:hAnsi="Arial" w:cs="Arial"/>
          <w:color w:val="000000"/>
          <w:sz w:val="20"/>
          <w:szCs w:val="20"/>
          <w:u w:val="single"/>
        </w:rPr>
        <w:t>peut</w:t>
      </w:r>
      <w:r>
        <w:rPr>
          <w:rFonts w:ascii="Arial" w:hAnsi="Arial" w:cs="Arial"/>
          <w:color w:val="000000"/>
          <w:sz w:val="20"/>
          <w:szCs w:val="20"/>
        </w:rPr>
        <w:t xml:space="preserve">, </w:t>
      </w:r>
      <w:r>
        <w:rPr>
          <w:rFonts w:ascii="Arial" w:hAnsi="Arial" w:cs="Arial"/>
          <w:b/>
          <w:bCs/>
          <w:color w:val="000000"/>
          <w:sz w:val="20"/>
          <w:szCs w:val="20"/>
          <w:u w:val="single"/>
        </w:rPr>
        <w:t>par une décision non susceptible de recours</w:t>
      </w:r>
      <w:r>
        <w:rPr>
          <w:rFonts w:ascii="Arial" w:hAnsi="Arial" w:cs="Arial"/>
          <w:color w:val="000000"/>
          <w:sz w:val="20"/>
          <w:szCs w:val="20"/>
        </w:rPr>
        <w:t xml:space="preserve">, </w:t>
      </w:r>
      <w:r>
        <w:rPr>
          <w:rFonts w:ascii="Arial" w:hAnsi="Arial" w:cs="Arial"/>
          <w:color w:val="000000"/>
          <w:sz w:val="20"/>
          <w:szCs w:val="20"/>
          <w:u w:val="single"/>
        </w:rPr>
        <w:t>décider que l'audience</w:t>
      </w:r>
      <w:r>
        <w:rPr>
          <w:rFonts w:ascii="Arial" w:hAnsi="Arial" w:cs="Arial"/>
          <w:color w:val="000000"/>
          <w:sz w:val="20"/>
          <w:szCs w:val="20"/>
        </w:rPr>
        <w:t xml:space="preserve"> ou l'audition se tiendra en utilisant un </w:t>
      </w:r>
      <w:r>
        <w:rPr>
          <w:rFonts w:ascii="Arial" w:hAnsi="Arial" w:cs="Arial"/>
          <w:color w:val="000000"/>
          <w:sz w:val="20"/>
          <w:szCs w:val="20"/>
          <w:u w:val="single"/>
        </w:rPr>
        <w:t>moyen de télécommunication audiovisuelle</w:t>
      </w:r>
      <w:r>
        <w:rPr>
          <w:rFonts w:ascii="Arial" w:hAnsi="Arial" w:cs="Arial"/>
          <w:color w:val="000000"/>
          <w:sz w:val="20"/>
          <w:szCs w:val="20"/>
        </w:rPr>
        <w:t xml:space="preserve"> permettant de s'assurer de l'identité des personnes y participant et garantissant la qualité de la transmission et la confidentialité des échanges entre les parties et leurs avocats.</w:t>
      </w:r>
    </w:p>
    <w:p w:rsidR="003E2CF7" w:rsidRDefault="003E2CF7" w:rsidP="003E2CF7">
      <w:pPr>
        <w:pStyle w:val="NormalWeb"/>
        <w:spacing w:before="120" w:beforeAutospacing="0" w:after="120" w:afterAutospacing="0"/>
        <w:ind w:left="574" w:right="585"/>
        <w:jc w:val="both"/>
      </w:pPr>
      <w:r>
        <w:rPr>
          <w:rFonts w:ascii="Arial" w:hAnsi="Arial" w:cs="Arial"/>
          <w:b/>
          <w:bCs/>
          <w:color w:val="000000"/>
          <w:sz w:val="20"/>
          <w:szCs w:val="20"/>
        </w:rPr>
        <w:t>En cas d'impossibilité technique ou matérielle de recourir à un tel moyen</w:t>
      </w:r>
      <w:r>
        <w:rPr>
          <w:rFonts w:ascii="Arial" w:hAnsi="Arial" w:cs="Arial"/>
          <w:color w:val="000000"/>
          <w:sz w:val="20"/>
          <w:szCs w:val="20"/>
        </w:rPr>
        <w:t xml:space="preserve">, le juge peut, </w:t>
      </w:r>
      <w:r>
        <w:rPr>
          <w:rFonts w:ascii="Arial" w:hAnsi="Arial" w:cs="Arial"/>
          <w:b/>
          <w:bCs/>
          <w:color w:val="000000"/>
          <w:sz w:val="20"/>
          <w:szCs w:val="20"/>
        </w:rPr>
        <w:t>par décision insusceptible de recours</w:t>
      </w:r>
      <w:r>
        <w:rPr>
          <w:rFonts w:ascii="Arial" w:hAnsi="Arial" w:cs="Arial"/>
          <w:color w:val="000000"/>
          <w:sz w:val="20"/>
          <w:szCs w:val="20"/>
        </w:rPr>
        <w:t xml:space="preserve">, </w:t>
      </w:r>
      <w:r>
        <w:rPr>
          <w:rFonts w:ascii="Arial" w:hAnsi="Arial" w:cs="Arial"/>
          <w:color w:val="000000"/>
          <w:sz w:val="20"/>
          <w:szCs w:val="20"/>
          <w:u w:val="single"/>
        </w:rPr>
        <w:t>décider d'entendre les parties et leurs avocats</w:t>
      </w:r>
      <w:r>
        <w:rPr>
          <w:rFonts w:ascii="Arial" w:hAnsi="Arial" w:cs="Arial"/>
          <w:color w:val="000000"/>
          <w:sz w:val="20"/>
          <w:szCs w:val="20"/>
        </w:rPr>
        <w:t xml:space="preserve">, ou la personne à auditionner, </w:t>
      </w:r>
      <w:r>
        <w:rPr>
          <w:rFonts w:ascii="Arial" w:hAnsi="Arial" w:cs="Arial"/>
          <w:color w:val="000000"/>
          <w:sz w:val="20"/>
          <w:szCs w:val="20"/>
          <w:u w:val="single"/>
        </w:rPr>
        <w:t xml:space="preserve">par tout moyen de communication électronique, </w:t>
      </w:r>
      <w:r>
        <w:rPr>
          <w:rFonts w:ascii="Arial" w:hAnsi="Arial" w:cs="Arial"/>
          <w:b/>
          <w:bCs/>
          <w:color w:val="000000"/>
          <w:sz w:val="20"/>
          <w:szCs w:val="20"/>
          <w:u w:val="single"/>
        </w:rPr>
        <w:t>y compris téléphonique</w:t>
      </w:r>
      <w:r>
        <w:rPr>
          <w:rFonts w:ascii="Arial" w:hAnsi="Arial" w:cs="Arial"/>
          <w:color w:val="000000"/>
          <w:sz w:val="20"/>
          <w:szCs w:val="20"/>
        </w:rPr>
        <w:t xml:space="preserve">, </w:t>
      </w:r>
      <w:r>
        <w:rPr>
          <w:rFonts w:ascii="Arial" w:hAnsi="Arial" w:cs="Arial"/>
          <w:color w:val="000000"/>
          <w:sz w:val="20"/>
          <w:szCs w:val="20"/>
          <w:u w:val="single"/>
        </w:rPr>
        <w:t>permettant de s'assurer de leur identité et de garantir la qualité de la transmission et la confidentialité des échanges</w:t>
      </w:r>
      <w:r>
        <w:rPr>
          <w:rFonts w:ascii="Arial" w:hAnsi="Arial" w:cs="Arial"/>
          <w:color w:val="000000"/>
          <w:sz w:val="20"/>
          <w:szCs w:val="20"/>
        </w:rPr>
        <w:t>.</w:t>
      </w:r>
    </w:p>
    <w:p w:rsidR="003E2CF7" w:rsidRDefault="003E2CF7" w:rsidP="003E2CF7">
      <w:pPr>
        <w:pStyle w:val="NormalWeb"/>
        <w:spacing w:before="120" w:beforeAutospacing="0" w:after="120" w:afterAutospacing="0"/>
        <w:ind w:left="574" w:right="585"/>
        <w:jc w:val="both"/>
      </w:pPr>
      <w:r>
        <w:rPr>
          <w:rFonts w:ascii="Arial" w:hAnsi="Arial" w:cs="Arial"/>
          <w:color w:val="000000"/>
          <w:sz w:val="20"/>
          <w:szCs w:val="20"/>
        </w:rPr>
        <w:t>Dans les cas prévus au présent article, les membres de la formation de jugement, le greffier, les parties, les personnes qui les assistent ou les représentent en vertu d'une habilitation légale ou d'un mandat, les techniciens et auxiliaires de justice ainsi que les personnes convoquées à l'audience ou à l'audition peuvent se trouver en des lieux distincts. Le juge organise et conduit la procédure. Il s'assure du bon déroulement des échanges entre les parties et veille au respect des droits de la défense et au caractère contradictoire des débats. Le greffe dresse le procès-verbal des opérations effectuées.</w:t>
      </w:r>
    </w:p>
    <w:p w:rsidR="003E2CF7" w:rsidRDefault="003E2CF7" w:rsidP="003E2CF7">
      <w:pPr>
        <w:pStyle w:val="NormalWeb"/>
        <w:spacing w:before="120" w:beforeAutospacing="0" w:after="120" w:afterAutospacing="0"/>
        <w:ind w:left="574" w:right="585"/>
        <w:jc w:val="both"/>
      </w:pPr>
      <w:r>
        <w:rPr>
          <w:rFonts w:ascii="Arial" w:hAnsi="Arial" w:cs="Arial"/>
          <w:color w:val="000000"/>
          <w:sz w:val="20"/>
          <w:szCs w:val="20"/>
        </w:rPr>
        <w:t>Les moyens de communication utilisés par les membres de la formation de jugement garantissent le secret du délibéré.</w:t>
      </w:r>
    </w:p>
    <w:p w:rsidR="003E2CF7" w:rsidRDefault="003E2CF7" w:rsidP="003E2CF7">
      <w:pPr>
        <w:pStyle w:val="NormalWeb"/>
        <w:spacing w:before="120" w:beforeAutospacing="0" w:after="120" w:afterAutospacing="0"/>
        <w:ind w:right="236"/>
        <w:jc w:val="both"/>
      </w:pPr>
      <w:r>
        <w:rPr>
          <w:rFonts w:ascii="Arial" w:hAnsi="Arial" w:cs="Arial"/>
          <w:color w:val="000000"/>
          <w:sz w:val="20"/>
          <w:szCs w:val="20"/>
        </w:rPr>
        <w:t>Article 1er décret n° 2020-1405 du 18 novembre 2020 portant adaptation des règles applicables aux juridictions de l'ordre judiciaire statuant en matière non pénale</w:t>
      </w:r>
    </w:p>
    <w:p w:rsidR="003E2CF7" w:rsidRDefault="003E2CF7" w:rsidP="003E2CF7">
      <w:pPr>
        <w:pStyle w:val="NormalWeb"/>
        <w:spacing w:before="120" w:beforeAutospacing="0" w:after="120" w:afterAutospacing="0"/>
        <w:ind w:left="540" w:right="596"/>
        <w:jc w:val="both"/>
      </w:pPr>
      <w:r>
        <w:rPr>
          <w:rFonts w:ascii="Arial" w:hAnsi="Arial" w:cs="Arial"/>
          <w:color w:val="000000"/>
          <w:sz w:val="20"/>
          <w:szCs w:val="20"/>
        </w:rPr>
        <w:t xml:space="preserve">Les dispositions de la présente section sont applicables aux juridictions de l'ordre judiciaire statuant en matière non pénale jusqu'à l'expiration d'un délai d'un mois après la cessation </w:t>
      </w:r>
      <w:r>
        <w:rPr>
          <w:rFonts w:ascii="Arial" w:hAnsi="Arial" w:cs="Arial"/>
          <w:color w:val="000000"/>
          <w:sz w:val="20"/>
          <w:szCs w:val="20"/>
        </w:rPr>
        <w:lastRenderedPageBreak/>
        <w:t>de l'état d'urgence sanitaire déclaré par le </w:t>
      </w:r>
      <w:hyperlink r:id="rId9" w:history="1">
        <w:r>
          <w:rPr>
            <w:rStyle w:val="Lienhypertexte"/>
            <w:rFonts w:ascii="Arial" w:hAnsi="Arial" w:cs="Arial"/>
            <w:color w:val="000000"/>
            <w:sz w:val="20"/>
            <w:szCs w:val="20"/>
          </w:rPr>
          <w:t>décret du 14 octobre 2020 susvisé</w:t>
        </w:r>
      </w:hyperlink>
      <w:r>
        <w:rPr>
          <w:rFonts w:ascii="Arial" w:hAnsi="Arial" w:cs="Arial"/>
          <w:color w:val="000000"/>
          <w:sz w:val="20"/>
          <w:szCs w:val="20"/>
        </w:rPr>
        <w:t>, et prorogé dans les conditions prévues par l'</w:t>
      </w:r>
      <w:hyperlink r:id="rId10" w:history="1">
        <w:r>
          <w:rPr>
            <w:rStyle w:val="Lienhypertexte"/>
            <w:rFonts w:ascii="Arial" w:hAnsi="Arial" w:cs="Arial"/>
            <w:color w:val="000000"/>
            <w:sz w:val="20"/>
            <w:szCs w:val="20"/>
          </w:rPr>
          <w:t>article L. 3131-13 du code de la santé publique</w:t>
        </w:r>
      </w:hyperlink>
      <w:r>
        <w:rPr>
          <w:rFonts w:ascii="Arial" w:hAnsi="Arial" w:cs="Arial"/>
          <w:color w:val="000000"/>
          <w:sz w:val="20"/>
          <w:szCs w:val="20"/>
        </w:rPr>
        <w:t>.</w:t>
      </w:r>
    </w:p>
    <w:p w:rsidR="003E2CF7" w:rsidRDefault="003E2CF7" w:rsidP="003E2CF7">
      <w:pPr>
        <w:pStyle w:val="NormalWeb"/>
        <w:spacing w:before="120" w:beforeAutospacing="0" w:after="120" w:afterAutospacing="0"/>
        <w:ind w:left="540" w:right="596"/>
        <w:jc w:val="both"/>
      </w:pPr>
      <w:r>
        <w:rPr>
          <w:rFonts w:ascii="Arial" w:hAnsi="Arial" w:cs="Arial"/>
          <w:color w:val="000000"/>
          <w:sz w:val="20"/>
          <w:szCs w:val="20"/>
        </w:rPr>
        <w:t>Elles s'appliquent aux instances en cours le lendemain de la publication du présent décret.</w:t>
      </w:r>
    </w:p>
    <w:p w:rsidR="003E2CF7" w:rsidRDefault="003E2CF7" w:rsidP="003E2CF7"/>
    <w:p w:rsidR="002628C0" w:rsidRDefault="002628C0">
      <w:bookmarkStart w:id="0" w:name="_GoBack"/>
      <w:bookmarkEnd w:id="0"/>
    </w:p>
    <w:sectPr w:rsidR="002628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908"/>
    <w:rsid w:val="002628C0"/>
    <w:rsid w:val="003E2CF7"/>
    <w:rsid w:val="005436AF"/>
    <w:rsid w:val="008C29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C379F-E024-4D28-87E1-8A36F6BDF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2CF7"/>
    <w:pPr>
      <w:spacing w:after="0" w:line="240" w:lineRule="auto"/>
    </w:pPr>
    <w:rPr>
      <w:rFonts w:ascii="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E2CF7"/>
    <w:rPr>
      <w:color w:val="0000FF"/>
      <w:u w:val="single"/>
    </w:rPr>
  </w:style>
  <w:style w:type="paragraph" w:styleId="NormalWeb">
    <w:name w:val="Normal (Web)"/>
    <w:basedOn w:val="Normal"/>
    <w:uiPriority w:val="99"/>
    <w:semiHidden/>
    <w:unhideWhenUsed/>
    <w:rsid w:val="003E2CF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00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158&amp;idArticle=LEGIARTI000031341416&amp;dateTexte=&amp;categorieLien=id" TargetMode="External"/><Relationship Id="rId3" Type="http://schemas.openxmlformats.org/officeDocument/2006/relationships/webSettings" Target="webSettings.xml"/><Relationship Id="rId7" Type="http://schemas.openxmlformats.org/officeDocument/2006/relationships/hyperlink" Target="https://www.legifrance.gouv.fr/affichCodeArticle.do?cidTexte=LEGITEXT000006071154&amp;idArticle=LEGIARTI000006514958&amp;dateTexte=&amp;categorieLien=ci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gifrance.gouv.fr/affichCodeArticle.do?cidTexte=LEGITEXT000006071154&amp;idArticle=LEGIARTI000006517638&amp;dateTexte=&amp;categorieLien=cid" TargetMode="External"/><Relationship Id="rId11" Type="http://schemas.openxmlformats.org/officeDocument/2006/relationships/fontTable" Target="fontTable.xml"/><Relationship Id="rId5" Type="http://schemas.openxmlformats.org/officeDocument/2006/relationships/hyperlink" Target="https://www.legifrance.gouv.fr/affichCodeArticle.do?cidTexte=LEGITEXT000006071164&amp;idArticle=LEGIARTI000017748053&amp;dateTexte=&amp;categorieLien=cid" TargetMode="External"/><Relationship Id="rId10" Type="http://schemas.openxmlformats.org/officeDocument/2006/relationships/hyperlink" Target="https://www.legifrance.gouv.fr/affichCodeArticle.do?cidTexte=LEGITEXT000006072665&amp;idArticle=LEGIARTI000041747462&amp;dateTexte=&amp;categorieLien=cid" TargetMode="External"/><Relationship Id="rId4" Type="http://schemas.openxmlformats.org/officeDocument/2006/relationships/hyperlink" Target="https://www.legifrance.gouv.fr/affichCodeArticle.do?cidTexte=LEGITEXT000006074236&amp;idArticle=LEGIARTI000006845625&amp;dateTexte=&amp;categorieLien=cid" TargetMode="External"/><Relationship Id="rId9" Type="http://schemas.openxmlformats.org/officeDocument/2006/relationships/hyperlink" Target="https://www.legifrance.gouv.fr/affichTexte.do?cidTexte=JORFTEXT000042424377&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2300</Words>
  <Characters>12654</Characters>
  <Application>Microsoft Office Word</Application>
  <DocSecurity>0</DocSecurity>
  <Lines>105</Lines>
  <Paragraphs>29</Paragraphs>
  <ScaleCrop>false</ScaleCrop>
  <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LEININGER</dc:creator>
  <cp:keywords/>
  <dc:description/>
  <cp:lastModifiedBy>EVE LEININGER</cp:lastModifiedBy>
  <cp:revision>2</cp:revision>
  <dcterms:created xsi:type="dcterms:W3CDTF">2021-03-09T15:43:00Z</dcterms:created>
  <dcterms:modified xsi:type="dcterms:W3CDTF">2021-03-09T15:47:00Z</dcterms:modified>
</cp:coreProperties>
</file>