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00000" w:rsidRDefault="00712BCE">
      <w:pPr>
        <w:pStyle w:val="Corpsdetexte"/>
        <w:rPr>
          <w:rFonts w:cs="Theinhardt"/>
        </w:rPr>
      </w:pPr>
      <w:r>
        <w:rPr>
          <w:noProof/>
        </w:rPr>
        <w:drawing>
          <wp:anchor distT="0" distB="0" distL="0" distR="0" simplePos="0" relativeHeight="251657216" behindDoc="1" locked="0" layoutInCell="1" allowOverlap="1">
            <wp:simplePos x="0" y="0"/>
            <wp:positionH relativeFrom="page">
              <wp:posOffset>-182245</wp:posOffset>
            </wp:positionH>
            <wp:positionV relativeFrom="page">
              <wp:posOffset>0</wp:posOffset>
            </wp:positionV>
            <wp:extent cx="1953895" cy="2313305"/>
            <wp:effectExtent l="0" t="0" r="0" b="0"/>
            <wp:wrapNone/>
            <wp:docPr id="5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3895" cy="23133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20807045</wp:posOffset>
            </wp:positionV>
            <wp:extent cx="2197735" cy="1529715"/>
            <wp:effectExtent l="0" t="0" r="0" b="0"/>
            <wp:wrapNone/>
            <wp:docPr id="4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3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735" cy="15297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712BCE">
      <w:pPr>
        <w:pStyle w:val="Corpsdetexte"/>
        <w:rPr>
          <w:rFonts w:cs="Theinhardt"/>
        </w:rPr>
      </w:pPr>
    </w:p>
    <w:p w:rsidR="00000000" w:rsidRDefault="00712BCE">
      <w:pPr>
        <w:pStyle w:val="Corpsdetexte"/>
        <w:rPr>
          <w:rFonts w:cs="Theinhardt"/>
        </w:rPr>
      </w:pPr>
    </w:p>
    <w:p w:rsidR="00000000" w:rsidRDefault="00712BCE">
      <w:pPr>
        <w:pStyle w:val="Corpsdetexte"/>
        <w:rPr>
          <w:rFonts w:cs="Theinhardt"/>
        </w:rPr>
      </w:pPr>
    </w:p>
    <w:p w:rsidR="00000000" w:rsidRDefault="00712BCE">
      <w:pPr>
        <w:pStyle w:val="Corpsdetexte"/>
        <w:rPr>
          <w:rFonts w:cs="Theinhardt"/>
        </w:rPr>
      </w:pPr>
    </w:p>
    <w:p w:rsidR="00000000" w:rsidRDefault="00712BCE">
      <w:pPr>
        <w:pStyle w:val="Corpsdetexte"/>
        <w:rPr>
          <w:rFonts w:cs="Theinhardt"/>
        </w:rPr>
      </w:pPr>
    </w:p>
    <w:p w:rsidR="00000000" w:rsidRDefault="00712BCE">
      <w:pPr>
        <w:pStyle w:val="Corpsdetexte"/>
        <w:rPr>
          <w:rFonts w:cs="Theinhardt"/>
        </w:rPr>
      </w:pPr>
    </w:p>
    <w:p w:rsidR="00000000" w:rsidRDefault="00712BCE">
      <w:pPr>
        <w:pStyle w:val="Corpsdetexte"/>
        <w:rPr>
          <w:rFonts w:cs="Theinhardt"/>
        </w:rPr>
      </w:pPr>
    </w:p>
    <w:p w:rsidR="00000000" w:rsidRDefault="00712BCE">
      <w:pPr>
        <w:pStyle w:val="Corpsdetexte"/>
        <w:rPr>
          <w:rFonts w:cs="Theinhardt"/>
        </w:rPr>
      </w:pPr>
    </w:p>
    <w:p w:rsidR="00000000" w:rsidRDefault="00712BCE">
      <w:pPr>
        <w:pStyle w:val="Corpsdetexte"/>
        <w:rPr>
          <w:rFonts w:cs="Theinhardt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325"/>
        <w:gridCol w:w="4299"/>
      </w:tblGrid>
      <w:tr w:rsidR="00000000">
        <w:tc>
          <w:tcPr>
            <w:tcW w:w="5325" w:type="dxa"/>
            <w:shd w:val="clear" w:color="auto" w:fill="auto"/>
          </w:tcPr>
          <w:p w:rsidR="00000000" w:rsidRDefault="00712BCE">
            <w:pPr>
              <w:pStyle w:val="Contenudetableau"/>
              <w:rPr>
                <w:rFonts w:cs="Theinhardt"/>
              </w:rPr>
            </w:pPr>
            <w:r>
              <w:rPr>
                <w:rFonts w:cs="Theinhardt"/>
              </w:rPr>
              <w:t xml:space="preserve">Tribunal correctionnel de Montpellier </w:t>
            </w:r>
          </w:p>
          <w:p w:rsidR="00000000" w:rsidRDefault="00712BCE">
            <w:pPr>
              <w:pStyle w:val="Contenudetableau"/>
              <w:rPr>
                <w:rFonts w:cs="Theinhardt"/>
              </w:rPr>
            </w:pPr>
            <w:r>
              <w:rPr>
                <w:rFonts w:cs="Theinhardt"/>
              </w:rPr>
              <w:t>Audience du 24 avril 2020 à 14 heures</w:t>
            </w:r>
          </w:p>
        </w:tc>
        <w:tc>
          <w:tcPr>
            <w:tcW w:w="4299" w:type="dxa"/>
            <w:shd w:val="clear" w:color="auto" w:fill="auto"/>
          </w:tcPr>
          <w:p w:rsidR="00000000" w:rsidRDefault="00712BCE">
            <w:pPr>
              <w:pStyle w:val="Contenudetableau"/>
              <w:jc w:val="right"/>
              <w:rPr>
                <w:rFonts w:cs="Theinhardt"/>
              </w:rPr>
            </w:pPr>
            <w:r>
              <w:rPr>
                <w:rFonts w:cs="Theinhardt"/>
              </w:rPr>
              <w:t>Aff. : LAGARDERE / MP</w:t>
            </w:r>
          </w:p>
          <w:p w:rsidR="00000000" w:rsidRDefault="00712BCE">
            <w:pPr>
              <w:pStyle w:val="Contenudetableau"/>
              <w:jc w:val="right"/>
            </w:pPr>
            <w:r>
              <w:rPr>
                <w:rFonts w:cs="Theinhardt"/>
              </w:rPr>
              <w:t>Parquet n</w:t>
            </w:r>
            <w:r>
              <w:rPr>
                <w:rFonts w:cs="Theinhardt"/>
              </w:rPr>
              <w:t>° 20 115 013</w:t>
            </w:r>
          </w:p>
        </w:tc>
      </w:tr>
    </w:tbl>
    <w:p w:rsidR="00000000" w:rsidRDefault="00712BCE">
      <w:pPr>
        <w:rPr>
          <w:rFonts w:cs="Theinhardt"/>
        </w:rPr>
      </w:pPr>
    </w:p>
    <w:p w:rsidR="00000000" w:rsidRDefault="00712BCE">
      <w:pPr>
        <w:rPr>
          <w:rFonts w:cs="Theinhardt"/>
        </w:rPr>
      </w:pPr>
    </w:p>
    <w:p w:rsidR="00000000" w:rsidRDefault="00712BCE">
      <w:pPr>
        <w:rPr>
          <w:rFonts w:cs="Theinhardt"/>
        </w:rPr>
      </w:pPr>
    </w:p>
    <w:p w:rsidR="00000000" w:rsidRDefault="00712BCE">
      <w:pPr>
        <w:pStyle w:val="Titre1"/>
        <w:rPr>
          <w:rFonts w:cs="Theinhardt"/>
          <w:sz w:val="21"/>
          <w:szCs w:val="21"/>
        </w:rPr>
      </w:pPr>
      <w:r>
        <w:rPr>
          <w:rFonts w:cs="Theinhardt"/>
        </w:rPr>
        <w:t>CONCLUSIONS DEVANT LE TRIBUNAL CORRECTIONNEL DE MONTPELLIER</w:t>
      </w: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pStyle w:val="Titre10"/>
        <w:rPr>
          <w:rFonts w:cs="Theinhardt"/>
          <w:szCs w:val="21"/>
        </w:rPr>
      </w:pPr>
      <w:r>
        <w:rPr>
          <w:rFonts w:cs="Theinhardt"/>
        </w:rPr>
        <w:t xml:space="preserve">POUR : </w:t>
      </w: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rPr>
          <w:rFonts w:cs="Theinhardt"/>
          <w:szCs w:val="21"/>
        </w:rPr>
      </w:pPr>
      <w:r>
        <w:rPr>
          <w:rFonts w:cs="Theinhardt"/>
          <w:b/>
          <w:bCs/>
          <w:szCs w:val="21"/>
        </w:rPr>
        <w:t>Monsieur Rémy LAGARDERE</w:t>
      </w:r>
      <w:r>
        <w:rPr>
          <w:rFonts w:cs="Theinhardt"/>
          <w:szCs w:val="21"/>
        </w:rPr>
        <w:t>, né le 18 avril 1992 à L</w:t>
      </w:r>
      <w:r>
        <w:rPr>
          <w:rFonts w:cs="Theinhardt"/>
          <w:szCs w:val="21"/>
        </w:rPr>
        <w:t xml:space="preserve">unel (34) de nationalité française, cariste, demeurant à Baillargues (34670) 360, Route Impériale ; </w:t>
      </w: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rPr>
          <w:rFonts w:cs="Theinhardt"/>
          <w:szCs w:val="21"/>
        </w:rPr>
      </w:pPr>
      <w:r>
        <w:rPr>
          <w:rFonts w:cs="Theinhardt"/>
          <w:szCs w:val="21"/>
          <w:u w:val="single"/>
        </w:rPr>
        <w:t>Prévenu</w:t>
      </w: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rPr>
          <w:rFonts w:cs="Theinhardt"/>
        </w:rPr>
      </w:pPr>
      <w:r>
        <w:rPr>
          <w:rFonts w:cs="Theinhardt"/>
          <w:szCs w:val="21"/>
        </w:rPr>
        <w:t>Ayant pour Avocat :</w:t>
      </w:r>
      <w:r>
        <w:rPr>
          <w:rFonts w:cs="Theinhardt"/>
          <w:szCs w:val="21"/>
        </w:rPr>
        <w:tab/>
      </w:r>
      <w:r>
        <w:rPr>
          <w:rFonts w:cs="Theinhardt"/>
          <w:b/>
          <w:bCs/>
          <w:szCs w:val="21"/>
        </w:rPr>
        <w:t>Maître</w:t>
      </w:r>
      <w:r>
        <w:rPr>
          <w:rFonts w:cs="Theinhardt"/>
          <w:b/>
          <w:bCs/>
          <w:szCs w:val="21"/>
        </w:rPr>
        <w:t xml:space="preserve"> Paul DAVID</w:t>
      </w:r>
    </w:p>
    <w:p w:rsidR="00000000" w:rsidRDefault="00712BCE">
      <w:pPr>
        <w:rPr>
          <w:rFonts w:cs="Theinhardt"/>
        </w:rPr>
      </w:pPr>
      <w:r>
        <w:rPr>
          <w:rFonts w:cs="Theinhardt"/>
        </w:rPr>
        <w:tab/>
      </w:r>
      <w:r>
        <w:rPr>
          <w:rFonts w:cs="Theinhardt"/>
        </w:rPr>
        <w:tab/>
      </w:r>
      <w:r>
        <w:rPr>
          <w:rFonts w:cs="Theinhardt"/>
        </w:rPr>
        <w:tab/>
      </w:r>
      <w:r>
        <w:rPr>
          <w:rFonts w:cs="Theinhardt"/>
          <w:i/>
          <w:iCs/>
        </w:rPr>
        <w:t xml:space="preserve">Avocat au Barreau de Montpellier </w:t>
      </w:r>
    </w:p>
    <w:p w:rsidR="00000000" w:rsidRDefault="00712BCE">
      <w:pPr>
        <w:rPr>
          <w:rFonts w:cs="Theinhardt"/>
        </w:rPr>
      </w:pP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pStyle w:val="Titre10"/>
        <w:rPr>
          <w:rFonts w:cs="Theinhardt"/>
        </w:rPr>
      </w:pPr>
      <w:r>
        <w:rPr>
          <w:rFonts w:eastAsia="Times New Roman" w:cs="Theinhardt"/>
          <w:sz w:val="22"/>
          <w:szCs w:val="22"/>
        </w:rPr>
        <w:t>EN PRESENCE DE MONSIEUR LE PROCUREUR DE LA REPUBLIQUE</w:t>
      </w:r>
    </w:p>
    <w:p w:rsidR="00000000" w:rsidRDefault="00712BCE">
      <w:pPr>
        <w:pStyle w:val="Titre1"/>
        <w:pageBreakBefore/>
        <w:rPr>
          <w:rFonts w:cs="Theinhardt"/>
          <w:sz w:val="21"/>
          <w:szCs w:val="21"/>
        </w:rPr>
      </w:pPr>
      <w:r>
        <w:rPr>
          <w:rFonts w:cs="Theinhardt"/>
        </w:rPr>
        <w:lastRenderedPageBreak/>
        <w:t xml:space="preserve">PLAISE AU </w:t>
      </w:r>
      <w:r>
        <w:rPr>
          <w:rFonts w:cs="Theinhardt"/>
        </w:rPr>
        <w:t>TRIBUNAL</w:t>
      </w:r>
    </w:p>
    <w:p w:rsidR="00000000" w:rsidRDefault="00712BCE">
      <w:pPr>
        <w:pStyle w:val="Titre2"/>
        <w:rPr>
          <w:rFonts w:cs="Theinhardt"/>
          <w:szCs w:val="21"/>
        </w:rPr>
      </w:pPr>
      <w:r>
        <w:rPr>
          <w:rFonts w:cs="Theinhardt"/>
          <w:szCs w:val="21"/>
        </w:rPr>
        <w:t xml:space="preserve">Procédure </w:t>
      </w:r>
    </w:p>
    <w:p w:rsidR="00000000" w:rsidRDefault="00712BCE">
      <w:pPr>
        <w:rPr>
          <w:rFonts w:cs="Theinhardt"/>
          <w:szCs w:val="21"/>
        </w:rPr>
      </w:pPr>
      <w:r>
        <w:rPr>
          <w:rFonts w:cs="Theinhardt"/>
          <w:szCs w:val="21"/>
        </w:rPr>
        <w:t xml:space="preserve">Le 23 avril 2020 à 00h40, Monsieur LAGARDERE a été interpellé par la Gendarmerie. </w:t>
      </w: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rPr>
          <w:rFonts w:cs="Theinhardt"/>
          <w:szCs w:val="21"/>
        </w:rPr>
      </w:pPr>
      <w:r>
        <w:rPr>
          <w:rFonts w:cs="Theinhardt"/>
          <w:szCs w:val="21"/>
        </w:rPr>
        <w:t xml:space="preserve">Soumis aux dépistages alcoolique et de stupéfiants, les deux étaient positifs. </w:t>
      </w: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rPr>
          <w:rFonts w:cs="Theinhardt"/>
          <w:szCs w:val="21"/>
        </w:rPr>
      </w:pPr>
      <w:r>
        <w:rPr>
          <w:rFonts w:cs="Theinhardt"/>
          <w:szCs w:val="21"/>
        </w:rPr>
        <w:t>La consultation du fichier ADOC a permis aux gendarmes d'établir que Mo</w:t>
      </w:r>
      <w:r>
        <w:rPr>
          <w:rFonts w:cs="Theinhardt"/>
          <w:szCs w:val="21"/>
        </w:rPr>
        <w:t xml:space="preserve">nsieur LAGARDERE a été verbalisé à trois reprises pour non-respect du confinement, soit : </w:t>
      </w: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numPr>
          <w:ilvl w:val="0"/>
          <w:numId w:val="2"/>
        </w:numPr>
        <w:rPr>
          <w:rFonts w:cs="Theinhardt"/>
          <w:szCs w:val="21"/>
        </w:rPr>
      </w:pPr>
      <w:r>
        <w:rPr>
          <w:rFonts w:cs="Theinhardt"/>
          <w:szCs w:val="21"/>
        </w:rPr>
        <w:t>2 avril 2020 à 17h05 ;</w:t>
      </w:r>
    </w:p>
    <w:p w:rsidR="00000000" w:rsidRDefault="00712BCE">
      <w:pPr>
        <w:numPr>
          <w:ilvl w:val="0"/>
          <w:numId w:val="2"/>
        </w:numPr>
        <w:rPr>
          <w:rFonts w:cs="Theinhardt"/>
          <w:szCs w:val="21"/>
        </w:rPr>
      </w:pPr>
      <w:r>
        <w:rPr>
          <w:rFonts w:cs="Theinhardt"/>
          <w:szCs w:val="21"/>
        </w:rPr>
        <w:t xml:space="preserve">12 avril 2020 à 10h23 ; </w:t>
      </w:r>
    </w:p>
    <w:p w:rsidR="00000000" w:rsidRDefault="00712BCE">
      <w:pPr>
        <w:numPr>
          <w:ilvl w:val="0"/>
          <w:numId w:val="2"/>
        </w:numPr>
        <w:rPr>
          <w:rFonts w:cs="Theinhardt"/>
          <w:szCs w:val="21"/>
        </w:rPr>
      </w:pPr>
      <w:r>
        <w:rPr>
          <w:rFonts w:cs="Theinhardt"/>
          <w:szCs w:val="21"/>
        </w:rPr>
        <w:t xml:space="preserve">15 avril 2020 (heure non indiquée) ; </w:t>
      </w: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rPr>
          <w:rFonts w:cs="Theinhardt"/>
          <w:szCs w:val="21"/>
        </w:rPr>
      </w:pPr>
      <w:r>
        <w:rPr>
          <w:rFonts w:cs="Theinhardt"/>
          <w:szCs w:val="21"/>
        </w:rPr>
        <w:t>A l'issue de sa garde à vue, Monsieur LAGARDERE a été déféré au Parquet et po</w:t>
      </w:r>
      <w:r>
        <w:rPr>
          <w:rFonts w:cs="Theinhardt"/>
          <w:szCs w:val="21"/>
        </w:rPr>
        <w:t xml:space="preserve">ursuivi en comparution immédiate des chefs de : </w:t>
      </w: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numPr>
          <w:ilvl w:val="0"/>
          <w:numId w:val="3"/>
        </w:numPr>
        <w:rPr>
          <w:rFonts w:cs="Theinhardt"/>
          <w:szCs w:val="21"/>
        </w:rPr>
      </w:pPr>
      <w:r>
        <w:rPr>
          <w:rFonts w:cs="Theinhardt"/>
          <w:szCs w:val="21"/>
        </w:rPr>
        <w:t>refus d'obtempérer ;</w:t>
      </w:r>
    </w:p>
    <w:p w:rsidR="00000000" w:rsidRDefault="00712BCE">
      <w:pPr>
        <w:numPr>
          <w:ilvl w:val="0"/>
          <w:numId w:val="3"/>
        </w:numPr>
        <w:rPr>
          <w:rFonts w:cs="Theinhardt"/>
          <w:szCs w:val="21"/>
        </w:rPr>
      </w:pPr>
      <w:r>
        <w:rPr>
          <w:rFonts w:cs="Theinhardt"/>
          <w:szCs w:val="21"/>
        </w:rPr>
        <w:t xml:space="preserve">conduite sans permis ; </w:t>
      </w:r>
    </w:p>
    <w:p w:rsidR="00000000" w:rsidRDefault="00712BCE">
      <w:pPr>
        <w:numPr>
          <w:ilvl w:val="0"/>
          <w:numId w:val="3"/>
        </w:numPr>
        <w:rPr>
          <w:rFonts w:cs="Theinhardt"/>
          <w:szCs w:val="21"/>
        </w:rPr>
      </w:pPr>
      <w:r>
        <w:rPr>
          <w:rFonts w:cs="Theinhardt"/>
          <w:szCs w:val="21"/>
        </w:rPr>
        <w:t xml:space="preserve">conduite en ayant fait usage de produits stupéfiants et sous l'empire d'un état alcoolique ; </w:t>
      </w:r>
    </w:p>
    <w:p w:rsidR="00000000" w:rsidRDefault="00712BCE">
      <w:pPr>
        <w:numPr>
          <w:ilvl w:val="0"/>
          <w:numId w:val="3"/>
        </w:numPr>
        <w:rPr>
          <w:rFonts w:cs="Theinhardt"/>
          <w:szCs w:val="21"/>
        </w:rPr>
      </w:pPr>
      <w:r>
        <w:rPr>
          <w:rFonts w:cs="Theinhardt"/>
          <w:szCs w:val="21"/>
        </w:rPr>
        <w:t xml:space="preserve">violation réitérée du confinement ; </w:t>
      </w:r>
    </w:p>
    <w:p w:rsidR="00000000" w:rsidRDefault="00712BCE">
      <w:pPr>
        <w:numPr>
          <w:ilvl w:val="0"/>
          <w:numId w:val="3"/>
        </w:numPr>
        <w:rPr>
          <w:rFonts w:cs="Theinhardt"/>
          <w:szCs w:val="21"/>
        </w:rPr>
      </w:pPr>
      <w:r>
        <w:rPr>
          <w:rFonts w:cs="Theinhardt"/>
          <w:szCs w:val="21"/>
        </w:rPr>
        <w:t xml:space="preserve">conduite sans assurance ; </w:t>
      </w:r>
    </w:p>
    <w:p w:rsidR="00000000" w:rsidRDefault="00712BCE">
      <w:pPr>
        <w:numPr>
          <w:ilvl w:val="0"/>
          <w:numId w:val="3"/>
        </w:numPr>
        <w:rPr>
          <w:rFonts w:cs="Theinhardt"/>
          <w:szCs w:val="21"/>
        </w:rPr>
      </w:pPr>
      <w:r>
        <w:rPr>
          <w:rFonts w:cs="Theinhardt"/>
          <w:szCs w:val="21"/>
        </w:rPr>
        <w:t>usa</w:t>
      </w:r>
      <w:r>
        <w:rPr>
          <w:rFonts w:cs="Theinhardt"/>
          <w:szCs w:val="21"/>
        </w:rPr>
        <w:t xml:space="preserve">ge de stupéfiants ; </w:t>
      </w: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rPr>
          <w:rFonts w:cs="Theinhardt"/>
          <w:szCs w:val="21"/>
        </w:rPr>
      </w:pPr>
      <w:r>
        <w:rPr>
          <w:rFonts w:cs="Theinhardt"/>
          <w:szCs w:val="21"/>
        </w:rPr>
        <w:t xml:space="preserve">C'est en l'état que se présente l'affaire. </w:t>
      </w: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pStyle w:val="Titre2"/>
        <w:rPr>
          <w:rFonts w:cs="Theinhardt"/>
          <w:szCs w:val="21"/>
        </w:rPr>
      </w:pPr>
      <w:r>
        <w:rPr>
          <w:rFonts w:cs="Theinhardt"/>
          <w:szCs w:val="21"/>
        </w:rPr>
        <w:t>Discussion</w:t>
      </w:r>
    </w:p>
    <w:p w:rsidR="00000000" w:rsidRDefault="00712BCE">
      <w:pPr>
        <w:pStyle w:val="Titre3"/>
        <w:rPr>
          <w:rFonts w:cs="Theinhardt"/>
          <w:szCs w:val="21"/>
        </w:rPr>
      </w:pPr>
      <w:r>
        <w:rPr>
          <w:rFonts w:cs="Theinhardt"/>
          <w:szCs w:val="21"/>
        </w:rPr>
        <w:t>In limine litis : sur la nullité de la garde à vue</w:t>
      </w:r>
    </w:p>
    <w:p w:rsidR="00000000" w:rsidRDefault="00712BCE">
      <w:pPr>
        <w:pStyle w:val="Titre4"/>
        <w:rPr>
          <w:rFonts w:cs="Theinhardt"/>
          <w:szCs w:val="21"/>
        </w:rPr>
      </w:pPr>
      <w:r>
        <w:rPr>
          <w:rFonts w:cs="Theinhardt"/>
          <w:szCs w:val="21"/>
        </w:rPr>
        <w:t xml:space="preserve">Sur la nullité </w:t>
      </w:r>
    </w:p>
    <w:p w:rsidR="00000000" w:rsidRDefault="00712BCE">
      <w:pPr>
        <w:rPr>
          <w:rFonts w:cs="Theinhardt"/>
          <w:szCs w:val="21"/>
        </w:rPr>
      </w:pPr>
      <w:r>
        <w:rPr>
          <w:rFonts w:cs="Theinhardt"/>
          <w:szCs w:val="21"/>
        </w:rPr>
        <w:t xml:space="preserve">L'article 63, I du Code de procédure pénale dispose que : </w:t>
      </w: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rPr>
          <w:rFonts w:cs="Theinhardt"/>
          <w:i/>
          <w:iCs/>
          <w:szCs w:val="21"/>
          <w:u w:val="single"/>
        </w:rPr>
      </w:pPr>
      <w:r>
        <w:rPr>
          <w:rFonts w:cs="Theinhardt"/>
          <w:szCs w:val="21"/>
        </w:rPr>
        <w:t>« </w:t>
      </w:r>
      <w:r>
        <w:rPr>
          <w:rFonts w:cs="Theinhardt"/>
          <w:i/>
          <w:iCs/>
          <w:szCs w:val="21"/>
        </w:rPr>
        <w:t xml:space="preserve">I. - Seul un officier de police judiciaire peut, </w:t>
      </w:r>
      <w:r>
        <w:rPr>
          <w:rFonts w:cs="Theinhardt"/>
          <w:i/>
          <w:iCs/>
          <w:szCs w:val="21"/>
        </w:rPr>
        <w:t>d'office ou sur instruction du procureur de la République, placer une personne en garde à vue.</w:t>
      </w:r>
    </w:p>
    <w:p w:rsidR="00000000" w:rsidRDefault="00712BCE">
      <w:pPr>
        <w:rPr>
          <w:rFonts w:cs="Theinhardt"/>
          <w:szCs w:val="21"/>
        </w:rPr>
      </w:pPr>
      <w:r>
        <w:rPr>
          <w:rFonts w:cs="Theinhardt"/>
          <w:i/>
          <w:iCs/>
          <w:szCs w:val="21"/>
          <w:u w:val="single"/>
        </w:rPr>
        <w:t>Dès le début de la mesure, l'officier de police judiciaire informe le procureur de la République, par tout moyen</w:t>
      </w:r>
      <w:r>
        <w:rPr>
          <w:rFonts w:cs="Theinhardt"/>
          <w:i/>
          <w:iCs/>
          <w:szCs w:val="21"/>
        </w:rPr>
        <w:t xml:space="preserve">, du placement de la personne en garde à vue. Il </w:t>
      </w:r>
      <w:r>
        <w:rPr>
          <w:rFonts w:cs="Theinhardt"/>
          <w:i/>
          <w:iCs/>
          <w:szCs w:val="21"/>
        </w:rPr>
        <w:t xml:space="preserve">lui donne connaissance des motifs justifiant, en application de l'article 62-2, ce placement et l'avise de la qualification des faits qu'il a </w:t>
      </w:r>
      <w:r>
        <w:rPr>
          <w:rFonts w:cs="Theinhardt"/>
          <w:i/>
          <w:iCs/>
          <w:szCs w:val="21"/>
        </w:rPr>
        <w:lastRenderedPageBreak/>
        <w:t>notifiée à la personne en application du 2° de l'article 63-1. Le procureur de la République peut modifier cette q</w:t>
      </w:r>
      <w:r>
        <w:rPr>
          <w:rFonts w:cs="Theinhardt"/>
          <w:i/>
          <w:iCs/>
          <w:szCs w:val="21"/>
        </w:rPr>
        <w:t>ualification ; dans ce cas, la nouvelle qualification est notifiée à la personne dans les conditions prévues au même article 63-1.</w:t>
      </w:r>
      <w:r>
        <w:rPr>
          <w:rFonts w:cs="Theinhardt"/>
          <w:szCs w:val="21"/>
        </w:rPr>
        <w:t xml:space="preserve"> ». </w:t>
      </w: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rPr>
          <w:rFonts w:cs="Theinhardt"/>
          <w:szCs w:val="21"/>
        </w:rPr>
      </w:pPr>
      <w:r>
        <w:rPr>
          <w:rFonts w:cs="Theinhardt"/>
          <w:szCs w:val="21"/>
        </w:rPr>
        <w:t>A ce titre, la jurisprudence constante de la Cour de cassation considère que « </w:t>
      </w:r>
      <w:r>
        <w:rPr>
          <w:rFonts w:cs="Theinhardt"/>
          <w:i/>
          <w:iCs/>
          <w:szCs w:val="21"/>
        </w:rPr>
        <w:t>si aucun élément de la procédure n'établi</w:t>
      </w:r>
      <w:r>
        <w:rPr>
          <w:rFonts w:cs="Theinhardt"/>
          <w:i/>
          <w:iCs/>
          <w:szCs w:val="21"/>
        </w:rPr>
        <w:t>t une circonstance insurmontable justifiant la décision de différer tant la notification de ses droits à l'intéressé que l'information du procureur de la République, un délai d'une demi-heure à trois quarts d'heure entre le placement de la personne en gard</w:t>
      </w:r>
      <w:r>
        <w:rPr>
          <w:rFonts w:cs="Theinhardt"/>
          <w:i/>
          <w:iCs/>
          <w:szCs w:val="21"/>
        </w:rPr>
        <w:t>e à vue et le respect de ces formalités est excessif et justifie l'annulation de la garde à vue et de la procédure subséquente </w:t>
      </w:r>
      <w:r>
        <w:rPr>
          <w:rFonts w:cs="Theinhardt"/>
          <w:szCs w:val="21"/>
        </w:rPr>
        <w:t xml:space="preserve">» (en ce sens, Chambre criminelle, 24 mai 2016, pourvoi n° 16-80.564). </w:t>
      </w: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rPr>
          <w:rFonts w:cs="Theinhardt"/>
          <w:szCs w:val="21"/>
        </w:rPr>
      </w:pPr>
      <w:r>
        <w:rPr>
          <w:rFonts w:cs="Theinhardt"/>
          <w:szCs w:val="21"/>
        </w:rPr>
        <w:t>Par ailleurs, concernant les nullités de procédure, l'ar</w:t>
      </w:r>
      <w:r>
        <w:rPr>
          <w:rFonts w:cs="Theinhardt"/>
          <w:szCs w:val="21"/>
        </w:rPr>
        <w:t xml:space="preserve">ticle 802 du Code de procédure pénale dispose que : </w:t>
      </w: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rPr>
          <w:rFonts w:cs="Theinhardt"/>
          <w:szCs w:val="21"/>
        </w:rPr>
      </w:pPr>
      <w:r>
        <w:rPr>
          <w:rFonts w:cs="Theinhardt"/>
          <w:szCs w:val="21"/>
        </w:rPr>
        <w:t>«</w:t>
      </w:r>
      <w:r>
        <w:rPr>
          <w:rFonts w:cs="Theinhardt"/>
          <w:i/>
          <w:iCs/>
          <w:szCs w:val="21"/>
        </w:rPr>
        <w:t> En cas de violation des formes prescrites par la loi à peine de nullité ou d'inobservation des formalités substantielles, toute juridiction, y compris la Cour de cassation, qui est saisie d'une demand</w:t>
      </w:r>
      <w:r>
        <w:rPr>
          <w:rFonts w:cs="Theinhardt"/>
          <w:i/>
          <w:iCs/>
          <w:szCs w:val="21"/>
        </w:rPr>
        <w:t xml:space="preserve">e d'annulation ou qui relève d'office une telle irrégularité </w:t>
      </w:r>
      <w:r>
        <w:rPr>
          <w:rFonts w:cs="Theinhardt"/>
          <w:i/>
          <w:iCs/>
          <w:szCs w:val="21"/>
          <w:u w:val="single"/>
        </w:rPr>
        <w:t>ne peut prononcer la nullité que lorsque celle-ci a eu pour effet de porter atteinte aux intérêts de la partie qu'elle concerne</w:t>
      </w:r>
      <w:r>
        <w:rPr>
          <w:rFonts w:cs="Theinhardt"/>
          <w:szCs w:val="21"/>
        </w:rPr>
        <w:t xml:space="preserve"> ». </w:t>
      </w: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rPr>
          <w:rFonts w:cs="Theinhardt"/>
          <w:szCs w:val="21"/>
        </w:rPr>
      </w:pPr>
      <w:r>
        <w:rPr>
          <w:rFonts w:cs="Theinhardt"/>
          <w:szCs w:val="21"/>
        </w:rPr>
        <w:t xml:space="preserve">A ce titre, la Cour de cassation considère que : </w:t>
      </w: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rPr>
          <w:rFonts w:cs="Theinhardt"/>
          <w:szCs w:val="21"/>
        </w:rPr>
      </w:pPr>
      <w:r>
        <w:rPr>
          <w:rFonts w:cs="Theinhardt"/>
          <w:szCs w:val="21"/>
        </w:rPr>
        <w:t>« </w:t>
      </w:r>
      <w:r>
        <w:rPr>
          <w:rFonts w:cs="Theinhardt"/>
          <w:i/>
          <w:iCs/>
          <w:szCs w:val="21"/>
        </w:rPr>
        <w:t>Attendu q</w:t>
      </w:r>
      <w:r>
        <w:rPr>
          <w:rFonts w:cs="Theinhardt"/>
          <w:i/>
          <w:iCs/>
          <w:szCs w:val="21"/>
        </w:rPr>
        <w:t>ue l'officier de police judiciaire, qui pour les nécessités de l'enquête, place en garde à vue une personne à l'encontre de laquelle il existe des indices faisant présumer qu'elle a commis ou tenté de commettre une infraction, doit en informer sans délai l</w:t>
      </w:r>
      <w:r>
        <w:rPr>
          <w:rFonts w:cs="Theinhardt"/>
          <w:i/>
          <w:iCs/>
          <w:szCs w:val="21"/>
        </w:rPr>
        <w:t xml:space="preserve">e procureur de la République ; </w:t>
      </w:r>
      <w:r>
        <w:rPr>
          <w:rFonts w:cs="Theinhardt"/>
          <w:i/>
          <w:iCs/>
          <w:szCs w:val="21"/>
          <w:u w:val="single"/>
        </w:rPr>
        <w:t>que tout retard dans la mise en oeuvre de cette obligation, non justifié par des circonstances insurmontables, fait nécessairement grief aux intérêts de la personne concernée</w:t>
      </w:r>
      <w:r>
        <w:rPr>
          <w:rFonts w:cs="Theinhardt"/>
          <w:i/>
          <w:iCs/>
          <w:szCs w:val="21"/>
        </w:rPr>
        <w:t xml:space="preserve"> ; </w:t>
      </w:r>
    </w:p>
    <w:p w:rsidR="00000000" w:rsidRDefault="00712BCE">
      <w:pPr>
        <w:rPr>
          <w:rFonts w:cs="Theinhardt"/>
          <w:i/>
          <w:iCs/>
          <w:szCs w:val="21"/>
        </w:rPr>
      </w:pPr>
      <w:r>
        <w:rPr>
          <w:rFonts w:cs="Theinhardt"/>
          <w:szCs w:val="21"/>
        </w:rPr>
        <w:t>[…]</w:t>
      </w:r>
    </w:p>
    <w:p w:rsidR="00000000" w:rsidRDefault="00712BCE">
      <w:pPr>
        <w:rPr>
          <w:rFonts w:cs="Theinhardt"/>
          <w:szCs w:val="21"/>
        </w:rPr>
      </w:pPr>
      <w:r>
        <w:rPr>
          <w:rFonts w:cs="Theinhardt"/>
          <w:i/>
          <w:iCs/>
          <w:szCs w:val="21"/>
        </w:rPr>
        <w:t xml:space="preserve">Mais attendu qu'en statuant ainsi, alors </w:t>
      </w:r>
      <w:r>
        <w:rPr>
          <w:rFonts w:cs="Theinhardt"/>
          <w:i/>
          <w:iCs/>
          <w:szCs w:val="21"/>
          <w:u w:val="single"/>
        </w:rPr>
        <w:t>qu</w:t>
      </w:r>
      <w:r>
        <w:rPr>
          <w:rFonts w:cs="Theinhardt"/>
          <w:i/>
          <w:iCs/>
          <w:szCs w:val="21"/>
          <w:u w:val="single"/>
        </w:rPr>
        <w:t>'il ne résulte d'aucun élément du dossier que le procureur de la République ait été avisé dès le placement en garde à vue, la chambre d'accusation a méconnu le sens et la portée des textes susvisés et du principe susénoncé</w:t>
      </w:r>
      <w:r>
        <w:rPr>
          <w:rFonts w:cs="Theinhardt"/>
          <w:i/>
          <w:iCs/>
          <w:szCs w:val="21"/>
        </w:rPr>
        <w:t xml:space="preserve"> </w:t>
      </w:r>
      <w:r>
        <w:rPr>
          <w:rFonts w:cs="Theinhardt"/>
          <w:szCs w:val="21"/>
        </w:rPr>
        <w:t>; » (en ce sens, Chambre criminel</w:t>
      </w:r>
      <w:r>
        <w:rPr>
          <w:rFonts w:cs="Theinhardt"/>
          <w:szCs w:val="21"/>
        </w:rPr>
        <w:t xml:space="preserve">le, 29 février 2000, pourvoi n° </w:t>
      </w:r>
      <w:r>
        <w:rPr>
          <w:rStyle w:val="lev"/>
          <w:rFonts w:cs="Theinhardt"/>
          <w:b w:val="0"/>
          <w:bCs w:val="0"/>
          <w:szCs w:val="21"/>
        </w:rPr>
        <w:t xml:space="preserve">99-85.573). </w:t>
      </w: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rPr>
          <w:rFonts w:cs="Theinhardt"/>
          <w:szCs w:val="21"/>
        </w:rPr>
      </w:pPr>
      <w:r>
        <w:rPr>
          <w:rFonts w:cs="Theinhardt"/>
          <w:szCs w:val="21"/>
        </w:rPr>
        <w:t xml:space="preserve">Dans le cas d'espèce, Monsieur LAGARDERE a été interpellé à 00H40 et placé en garde à vue cet instant. </w:t>
      </w: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rPr>
          <w:rFonts w:cs="Theinhardt"/>
          <w:szCs w:val="21"/>
        </w:rPr>
      </w:pPr>
      <w:r>
        <w:rPr>
          <w:rFonts w:cs="Theinhardt"/>
          <w:szCs w:val="21"/>
        </w:rPr>
        <w:t>Or, l'avis au Procureur de la République n'a été établi qu'à 1h40, soit une heure plus tard, sans qu'il s</w:t>
      </w:r>
      <w:r>
        <w:rPr>
          <w:rFonts w:cs="Theinhardt"/>
          <w:szCs w:val="21"/>
        </w:rPr>
        <w:t xml:space="preserve">oit démontré que des circonstances insurmontables ont rendu impossible de donner cette information plus tôt. </w:t>
      </w: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rPr>
          <w:rFonts w:cs="Theinhardt"/>
          <w:szCs w:val="21"/>
        </w:rPr>
      </w:pPr>
      <w:r>
        <w:rPr>
          <w:rFonts w:cs="Theinhardt"/>
          <w:szCs w:val="21"/>
        </w:rPr>
        <w:lastRenderedPageBreak/>
        <w:t xml:space="preserve">En conséquence, il y aura lieu d'annuler la mesure de garde à vue dont a fait l'objet Monsieur LAGARDERE le 24 avril 2020. </w:t>
      </w: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pStyle w:val="Titre4"/>
        <w:rPr>
          <w:rFonts w:cs="Theinhardt"/>
          <w:bCs w:val="0"/>
          <w:iCs w:val="0"/>
          <w:szCs w:val="21"/>
          <w:u w:val="none"/>
        </w:rPr>
      </w:pPr>
      <w:r>
        <w:rPr>
          <w:rFonts w:cs="Theinhardt"/>
          <w:szCs w:val="21"/>
        </w:rPr>
        <w:t>Sur les conséquences</w:t>
      </w:r>
      <w:r>
        <w:rPr>
          <w:rFonts w:cs="Theinhardt"/>
          <w:szCs w:val="21"/>
        </w:rPr>
        <w:t xml:space="preserve"> de la nullité </w:t>
      </w:r>
    </w:p>
    <w:p w:rsidR="00000000" w:rsidRDefault="00712BCE">
      <w:pPr>
        <w:rPr>
          <w:rFonts w:cs="Theinhardt"/>
          <w:szCs w:val="21"/>
        </w:rPr>
      </w:pPr>
      <w:r>
        <w:rPr>
          <w:rFonts w:cs="Theinhardt"/>
          <w:szCs w:val="21"/>
        </w:rPr>
        <w:t xml:space="preserve">Concernant la portée de la nullité, la chambre criminelle de la Cour de cassation considère que : </w:t>
      </w: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rPr>
          <w:rFonts w:cs="Theinhardt"/>
          <w:szCs w:val="21"/>
        </w:rPr>
      </w:pPr>
      <w:r>
        <w:rPr>
          <w:rFonts w:cs="Theinhardt"/>
          <w:szCs w:val="21"/>
        </w:rPr>
        <w:t>« </w:t>
      </w:r>
      <w:r>
        <w:rPr>
          <w:rFonts w:cs="Theinhardt"/>
          <w:i/>
          <w:iCs/>
          <w:szCs w:val="21"/>
        </w:rPr>
        <w:t xml:space="preserve">Seuls doivent être annulés les actes affectés par la nullité et ceux dont ils sont le support nécessaire : ainsi l'annulation de la garde </w:t>
      </w:r>
      <w:r>
        <w:rPr>
          <w:rFonts w:cs="Theinhardt"/>
          <w:i/>
          <w:iCs/>
          <w:szCs w:val="21"/>
        </w:rPr>
        <w:t xml:space="preserve">à vue pour cause d'avis tardif au procureur n'affecte pas les procès-verbaux d'interpellation, de dépôt de plainte, d'audition de témoin, ni la convocation à comparaître devant le tribunal correctionnel si celle-ci trouvait son support dans d'autres actes </w:t>
      </w:r>
      <w:r>
        <w:rPr>
          <w:rFonts w:cs="Theinhardt"/>
          <w:i/>
          <w:iCs/>
          <w:szCs w:val="21"/>
        </w:rPr>
        <w:t>régulièrement accomplis</w:t>
      </w:r>
      <w:r>
        <w:rPr>
          <w:rFonts w:cs="Theinhardt"/>
          <w:szCs w:val="21"/>
        </w:rPr>
        <w:t xml:space="preserve"> » (en ce sens, chambre criminelle, 12 avril 2005, pourvoi n° </w:t>
      </w:r>
      <w:r>
        <w:rPr>
          <w:rStyle w:val="lev"/>
          <w:rFonts w:cs="Theinhardt"/>
          <w:b w:val="0"/>
          <w:bCs w:val="0"/>
          <w:szCs w:val="21"/>
        </w:rPr>
        <w:t xml:space="preserve">04-86780). </w:t>
      </w: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rPr>
          <w:rFonts w:cs="Theinhardt"/>
          <w:szCs w:val="21"/>
        </w:rPr>
      </w:pPr>
      <w:r>
        <w:rPr>
          <w:rStyle w:val="lev"/>
          <w:rFonts w:cs="Theinhardt"/>
          <w:b w:val="0"/>
          <w:bCs w:val="0"/>
          <w:szCs w:val="21"/>
        </w:rPr>
        <w:t>Ainsi, doivent être annulés tous les actes postérieurs, ayant trouvé leur fondement dans la mesure de garde à vue, c'est à dire les actes qui n'auraient pas e</w:t>
      </w:r>
      <w:r>
        <w:rPr>
          <w:rStyle w:val="lev"/>
          <w:rFonts w:cs="Theinhardt"/>
          <w:b w:val="0"/>
          <w:bCs w:val="0"/>
          <w:szCs w:val="21"/>
        </w:rPr>
        <w:t xml:space="preserve">u lieu si la garde à vue n'avait pas été prise. </w:t>
      </w: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rPr>
          <w:rStyle w:val="lev"/>
          <w:rFonts w:cs="Theinhardt"/>
          <w:b w:val="0"/>
          <w:bCs w:val="0"/>
          <w:szCs w:val="21"/>
        </w:rPr>
      </w:pPr>
      <w:r>
        <w:rPr>
          <w:rStyle w:val="lev"/>
          <w:rFonts w:cs="Theinhardt"/>
          <w:b w:val="0"/>
          <w:bCs w:val="0"/>
          <w:szCs w:val="21"/>
        </w:rPr>
        <w:t xml:space="preserve">A l'issue de la garde à vue, Monsieur LAGARDERE a été déféré devant le Procureur de la République et a fait l'objet d'un procès-verbal de comparution immédiate. </w:t>
      </w:r>
    </w:p>
    <w:p w:rsidR="00000000" w:rsidRDefault="00712BCE">
      <w:pPr>
        <w:rPr>
          <w:rFonts w:cs="Theinhardt"/>
          <w:szCs w:val="21"/>
        </w:rPr>
      </w:pPr>
      <w:r>
        <w:rPr>
          <w:rStyle w:val="lev"/>
          <w:rFonts w:cs="Theinhardt"/>
          <w:b w:val="0"/>
          <w:bCs w:val="0"/>
          <w:szCs w:val="21"/>
        </w:rPr>
        <w:t>L'article 393, alinéa 1 du Code de procédure</w:t>
      </w:r>
      <w:r>
        <w:rPr>
          <w:rStyle w:val="lev"/>
          <w:rFonts w:cs="Theinhardt"/>
          <w:b w:val="0"/>
          <w:bCs w:val="0"/>
          <w:szCs w:val="21"/>
        </w:rPr>
        <w:t xml:space="preserve"> pénale dispose que : </w:t>
      </w: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rPr>
          <w:rFonts w:cs="Theinhardt"/>
          <w:szCs w:val="21"/>
        </w:rPr>
      </w:pPr>
      <w:r>
        <w:rPr>
          <w:rStyle w:val="lev"/>
          <w:rFonts w:cs="Theinhardt"/>
          <w:b w:val="0"/>
          <w:bCs w:val="0"/>
          <w:szCs w:val="21"/>
        </w:rPr>
        <w:t>« </w:t>
      </w:r>
      <w:r>
        <w:rPr>
          <w:rStyle w:val="lev"/>
          <w:rFonts w:cs="Theinhardt"/>
          <w:b w:val="0"/>
          <w:bCs w:val="0"/>
          <w:i/>
          <w:iCs/>
          <w:szCs w:val="21"/>
        </w:rPr>
        <w:t>En matière correctionnelle, lorsqu'il envisage de poursuivre une personne en application des articles 394 et 395, le procureur de la République ordonne qu'elle soit déférée devant lui</w:t>
      </w:r>
      <w:r>
        <w:rPr>
          <w:rStyle w:val="lev"/>
          <w:rFonts w:cs="Theinhardt"/>
          <w:b w:val="0"/>
          <w:bCs w:val="0"/>
          <w:szCs w:val="21"/>
        </w:rPr>
        <w:t xml:space="preserve"> ». </w:t>
      </w: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rPr>
          <w:rFonts w:cs="Theinhardt"/>
          <w:szCs w:val="21"/>
        </w:rPr>
      </w:pPr>
      <w:r>
        <w:rPr>
          <w:rFonts w:cs="Theinhardt"/>
          <w:szCs w:val="21"/>
        </w:rPr>
        <w:t>Parallèlement, l'article 395 du même Code</w:t>
      </w:r>
      <w:r>
        <w:rPr>
          <w:rFonts w:cs="Theinhardt"/>
          <w:szCs w:val="21"/>
        </w:rPr>
        <w:t xml:space="preserve"> dispose que : </w:t>
      </w: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rPr>
          <w:rFonts w:cs="Theinhardt"/>
          <w:i/>
          <w:iCs/>
          <w:szCs w:val="21"/>
        </w:rPr>
      </w:pPr>
      <w:r>
        <w:rPr>
          <w:rFonts w:cs="Theinhardt"/>
          <w:szCs w:val="21"/>
        </w:rPr>
        <w:t>« </w:t>
      </w:r>
      <w:r>
        <w:rPr>
          <w:rFonts w:cs="Theinhardt"/>
          <w:i/>
          <w:iCs/>
          <w:szCs w:val="21"/>
        </w:rPr>
        <w:t>Si le maximum de l'emprisonnement prévu par la loi est au moins égal à deux ans, le procureur de la République, lorsqu'il lui apparaît que les charges réunies sont suffisantes et que l'affaire est en l'état d'être jugée, peut, s'il estim</w:t>
      </w:r>
      <w:r>
        <w:rPr>
          <w:rFonts w:cs="Theinhardt"/>
          <w:i/>
          <w:iCs/>
          <w:szCs w:val="21"/>
        </w:rPr>
        <w:t>e que les éléments de l'espèce justifient une comparution immédiate, traduire le prévenu sur-le-champ devant le tribunal.</w:t>
      </w:r>
    </w:p>
    <w:p w:rsidR="00000000" w:rsidRDefault="00712BCE">
      <w:pPr>
        <w:rPr>
          <w:rStyle w:val="lev"/>
          <w:rFonts w:cs="Theinhardt"/>
          <w:b w:val="0"/>
          <w:bCs w:val="0"/>
          <w:i/>
          <w:iCs/>
          <w:szCs w:val="21"/>
        </w:rPr>
      </w:pPr>
      <w:r>
        <w:rPr>
          <w:rFonts w:cs="Theinhardt"/>
          <w:i/>
          <w:iCs/>
          <w:szCs w:val="21"/>
        </w:rPr>
        <w:t>En cas de délit flagrant, si le maximum de l'emprisonnement prévu par la loi est au moins égal à six mois, le procureur de la Républiq</w:t>
      </w:r>
      <w:r>
        <w:rPr>
          <w:rFonts w:cs="Theinhardt"/>
          <w:i/>
          <w:iCs/>
          <w:szCs w:val="21"/>
        </w:rPr>
        <w:t>ue, s'il estime que les éléments de l'espèce justifient une comparution immédiate, peut traduire le prévenu sur-le-champ devant le tribunal.</w:t>
      </w:r>
    </w:p>
    <w:p w:rsidR="00000000" w:rsidRDefault="00712BCE">
      <w:pPr>
        <w:rPr>
          <w:rFonts w:cs="Theinhardt"/>
          <w:szCs w:val="21"/>
        </w:rPr>
      </w:pPr>
      <w:r>
        <w:rPr>
          <w:rStyle w:val="lev"/>
          <w:rFonts w:cs="Theinhardt"/>
          <w:b w:val="0"/>
          <w:bCs w:val="0"/>
          <w:i/>
          <w:iCs/>
          <w:szCs w:val="21"/>
        </w:rPr>
        <w:t xml:space="preserve">Le prévenu est retenu jusqu'à sa comparution qui doit avoir lieu le jour même ; il est conduit sous escorte devant </w:t>
      </w:r>
      <w:r>
        <w:rPr>
          <w:rStyle w:val="lev"/>
          <w:rFonts w:cs="Theinhardt"/>
          <w:b w:val="0"/>
          <w:bCs w:val="0"/>
          <w:i/>
          <w:iCs/>
          <w:szCs w:val="21"/>
        </w:rPr>
        <w:t>le tribunal</w:t>
      </w:r>
      <w:r>
        <w:rPr>
          <w:rStyle w:val="lev"/>
          <w:rFonts w:cs="Theinhardt"/>
          <w:b w:val="0"/>
          <w:bCs w:val="0"/>
          <w:szCs w:val="21"/>
        </w:rPr>
        <w:t xml:space="preserve"> ». </w:t>
      </w: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rPr>
          <w:rFonts w:cs="Theinhardt"/>
          <w:szCs w:val="21"/>
        </w:rPr>
      </w:pPr>
      <w:r>
        <w:rPr>
          <w:rFonts w:cs="Theinhardt"/>
          <w:szCs w:val="21"/>
        </w:rPr>
        <w:t xml:space="preserve">Tenant ces dispositions, il est manifeste que, tant le déferrement que la comparution immédiate devant le tribunal correctionnel trouvent leur fondement dans la garde à vue. </w:t>
      </w: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rPr>
          <w:rFonts w:cs="Theinhardt"/>
          <w:szCs w:val="21"/>
        </w:rPr>
      </w:pPr>
      <w:r>
        <w:rPr>
          <w:rStyle w:val="lev"/>
          <w:rFonts w:cs="Theinhardt"/>
          <w:b w:val="0"/>
          <w:bCs w:val="0"/>
          <w:szCs w:val="21"/>
        </w:rPr>
        <w:lastRenderedPageBreak/>
        <w:t>En effet, sans la survenance de cette mesure, Monsieur LAGARDER</w:t>
      </w:r>
      <w:r>
        <w:rPr>
          <w:rStyle w:val="lev"/>
          <w:rFonts w:cs="Theinhardt"/>
          <w:b w:val="0"/>
          <w:bCs w:val="0"/>
          <w:szCs w:val="21"/>
        </w:rPr>
        <w:t xml:space="preserve">E n'aurait pas été déféré devant le procureur de la République et, dès lors, n'aurait pas fait l'objet d'une comparution immédiate devant le tribunal correctionnel. </w:t>
      </w: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rPr>
          <w:rFonts w:cs="Theinhardt"/>
          <w:szCs w:val="21"/>
        </w:rPr>
      </w:pPr>
      <w:r>
        <w:rPr>
          <w:rStyle w:val="lev"/>
          <w:rFonts w:cs="Theinhardt"/>
          <w:b w:val="0"/>
          <w:bCs w:val="0"/>
          <w:szCs w:val="21"/>
        </w:rPr>
        <w:t>En conséquence, il y aura lieu d'annuler la mesure de garde à vue de Monsieur LAGARDERE a</w:t>
      </w:r>
      <w:r>
        <w:rPr>
          <w:rStyle w:val="lev"/>
          <w:rFonts w:cs="Theinhardt"/>
          <w:b w:val="0"/>
          <w:bCs w:val="0"/>
          <w:szCs w:val="21"/>
        </w:rPr>
        <w:t>insi que l'ensemble des actes trouvant leur fondement dans cette mesure, en eux compris le procès-verbal de comparution immédiate.</w:t>
      </w: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rPr>
          <w:rFonts w:cs="Theinhardt"/>
          <w:szCs w:val="21"/>
        </w:rPr>
      </w:pPr>
      <w:r>
        <w:rPr>
          <w:rStyle w:val="lev"/>
          <w:rFonts w:cs="Theinhardt"/>
          <w:b w:val="0"/>
          <w:bCs w:val="0"/>
          <w:szCs w:val="21"/>
        </w:rPr>
        <w:t>En conséquence, le tribunal correctionnel de Montpellier devra s'estimer non saisi des poursuites à l'encontre de Monsieur R</w:t>
      </w:r>
      <w:r>
        <w:rPr>
          <w:rStyle w:val="lev"/>
          <w:rFonts w:cs="Theinhardt"/>
          <w:b w:val="0"/>
          <w:bCs w:val="0"/>
          <w:szCs w:val="21"/>
        </w:rPr>
        <w:t xml:space="preserve">émy LAGARDERE. </w:t>
      </w: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pStyle w:val="Titre3"/>
        <w:rPr>
          <w:rFonts w:cs="Theinhardt"/>
          <w:szCs w:val="21"/>
        </w:rPr>
      </w:pPr>
      <w:r>
        <w:rPr>
          <w:rFonts w:cs="Theinhardt"/>
          <w:szCs w:val="21"/>
        </w:rPr>
        <w:t xml:space="preserve">Sur la nullité liée à la consultation du fichier ADOC </w:t>
      </w:r>
    </w:p>
    <w:p w:rsidR="00000000" w:rsidRDefault="00712BCE">
      <w:pPr>
        <w:rPr>
          <w:rFonts w:cs="Theinhardt"/>
          <w:szCs w:val="21"/>
        </w:rPr>
      </w:pPr>
      <w:r>
        <w:rPr>
          <w:rFonts w:cs="Theinhardt"/>
          <w:szCs w:val="21"/>
        </w:rPr>
        <w:t xml:space="preserve">L'article 1 de l'arrêté du 13 octobre 2004 portant création du système de contrôle automatisé dispose que : </w:t>
      </w: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rPr>
          <w:rFonts w:cs="Theinhardt"/>
          <w:i/>
          <w:iCs/>
          <w:szCs w:val="21"/>
        </w:rPr>
      </w:pPr>
      <w:r>
        <w:rPr>
          <w:rFonts w:cs="Theinhardt"/>
          <w:szCs w:val="21"/>
        </w:rPr>
        <w:t>« </w:t>
      </w:r>
      <w:r>
        <w:rPr>
          <w:rFonts w:cs="Theinhardt"/>
          <w:i/>
          <w:iCs/>
          <w:szCs w:val="21"/>
        </w:rPr>
        <w:t>Il est créé sous le contrôle et l'autorité du ministre de l'intérieur, d</w:t>
      </w:r>
      <w:r>
        <w:rPr>
          <w:rFonts w:cs="Theinhardt"/>
          <w:i/>
          <w:iCs/>
          <w:szCs w:val="21"/>
        </w:rPr>
        <w:t>e la sécurité intérieure et des libertés locales, sous l'appellation de système "contrôle automatisé" (CA), un traitement automatisé de données à caractère personnel dont les finalités sont les suivantes :</w:t>
      </w:r>
    </w:p>
    <w:p w:rsidR="00000000" w:rsidRDefault="00712BCE">
      <w:pPr>
        <w:rPr>
          <w:rFonts w:cs="Theinhardt"/>
          <w:i/>
          <w:iCs/>
          <w:szCs w:val="21"/>
        </w:rPr>
      </w:pPr>
      <w:r>
        <w:rPr>
          <w:rFonts w:cs="Theinhardt"/>
          <w:i/>
          <w:iCs/>
          <w:szCs w:val="21"/>
        </w:rPr>
        <w:t>1° Constater, au moyen d'appareils de contrôle aut</w:t>
      </w:r>
      <w:r>
        <w:rPr>
          <w:rFonts w:cs="Theinhardt"/>
          <w:i/>
          <w:iCs/>
          <w:szCs w:val="21"/>
        </w:rPr>
        <w:t>omatique homologués, les infractions prévues à l' article R. 130-11 du code de la route ;</w:t>
      </w:r>
    </w:p>
    <w:p w:rsidR="00000000" w:rsidRDefault="00712BCE">
      <w:pPr>
        <w:rPr>
          <w:rFonts w:cs="Theinhardt"/>
          <w:szCs w:val="21"/>
        </w:rPr>
      </w:pPr>
      <w:r>
        <w:rPr>
          <w:rFonts w:cs="Theinhardt"/>
          <w:i/>
          <w:iCs/>
          <w:szCs w:val="21"/>
        </w:rPr>
        <w:t>2° Procéder à l'enregistrement et à la conservation des données recueillies par l'agent verbalisateur au moyen d'appareils électroniques à l'occasion de la constatati</w:t>
      </w:r>
      <w:r>
        <w:rPr>
          <w:rFonts w:cs="Theinhardt"/>
          <w:i/>
          <w:iCs/>
          <w:szCs w:val="21"/>
        </w:rPr>
        <w:t>on des contraventions et délits relatifs à la circulation routière ;</w:t>
      </w:r>
    </w:p>
    <w:p w:rsidR="00000000" w:rsidRDefault="00712BCE">
      <w:pPr>
        <w:rPr>
          <w:rFonts w:cs="Theinhardt"/>
          <w:szCs w:val="21"/>
        </w:rPr>
      </w:pPr>
      <w:r>
        <w:rPr>
          <w:rFonts w:cs="Theinhardt"/>
          <w:szCs w:val="21"/>
        </w:rPr>
        <w:t xml:space="preserve">[...] ». </w:t>
      </w: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rPr>
          <w:rFonts w:cs="Theinhardt"/>
          <w:szCs w:val="21"/>
        </w:rPr>
      </w:pPr>
      <w:r>
        <w:rPr>
          <w:rFonts w:cs="Theinhardt"/>
          <w:szCs w:val="21"/>
        </w:rPr>
        <w:t>Suite à la mise en place de l'état d'urgence sanitaire et à la création d'une contravention, celles-ci ont été systématiquement enregistrées dans ce fichier, de façon totalemen</w:t>
      </w:r>
      <w:r>
        <w:rPr>
          <w:rFonts w:cs="Theinhardt"/>
          <w:szCs w:val="21"/>
        </w:rPr>
        <w:t xml:space="preserve">t contraire à sa destination. </w:t>
      </w: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rPr>
          <w:rFonts w:cs="Theinhardt"/>
          <w:szCs w:val="21"/>
        </w:rPr>
      </w:pPr>
      <w:r>
        <w:rPr>
          <w:rFonts w:cs="Theinhardt"/>
          <w:szCs w:val="21"/>
        </w:rPr>
        <w:t xml:space="preserve">Cet arrêté de 2004 a été modifié par un arrêté du 14 avril 2020 publié le 16 avril 2020 permettant l'enregistrement de l'ensemble des procédures faisant l'objet d'une amende forfaitaire. </w:t>
      </w:r>
    </w:p>
    <w:p w:rsidR="00000000" w:rsidRDefault="00712BCE">
      <w:pPr>
        <w:rPr>
          <w:rFonts w:cs="Theinhardt"/>
          <w:szCs w:val="21"/>
        </w:rPr>
      </w:pPr>
      <w:r>
        <w:rPr>
          <w:rFonts w:cs="Theinhardt"/>
          <w:szCs w:val="21"/>
        </w:rPr>
        <w:t>Pour autant, ces nouvelles dispositi</w:t>
      </w:r>
      <w:r>
        <w:rPr>
          <w:rFonts w:cs="Theinhardt"/>
          <w:szCs w:val="21"/>
        </w:rPr>
        <w:t xml:space="preserve">ons n'ont d'effet que pour l'avenir. </w:t>
      </w: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rPr>
          <w:rFonts w:cs="Theinhardt"/>
          <w:szCs w:val="21"/>
        </w:rPr>
      </w:pPr>
      <w:r>
        <w:rPr>
          <w:rFonts w:cs="Theinhardt"/>
          <w:szCs w:val="21"/>
        </w:rPr>
        <w:t xml:space="preserve">En conséquence, l'enregistrement dans le fichier ADOC des contraventions dressées à l'encontre de Monsieur LAGAREDERE les 2, 12 et 15 avril était illégal. </w:t>
      </w: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rPr>
          <w:rFonts w:cs="Theinhardt"/>
          <w:szCs w:val="21"/>
        </w:rPr>
      </w:pPr>
      <w:r>
        <w:rPr>
          <w:rFonts w:cs="Theinhardt"/>
          <w:szCs w:val="21"/>
        </w:rPr>
        <w:t>En conséquence, l'enregistrement et la consultation au moyen</w:t>
      </w:r>
      <w:r>
        <w:rPr>
          <w:rFonts w:cs="Theinhardt"/>
          <w:szCs w:val="21"/>
        </w:rPr>
        <w:t xml:space="preserve"> du fichier ADOC des contraventions des 2 avril 2020,12 avril 2020 et 15 avril 2020 justifient leur nullité ou que ces éléments soient écartés des débats. </w:t>
      </w: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pStyle w:val="Titre3"/>
        <w:rPr>
          <w:rFonts w:cs="Theinhardt"/>
          <w:szCs w:val="21"/>
        </w:rPr>
      </w:pPr>
      <w:r>
        <w:rPr>
          <w:rFonts w:cs="Theinhardt"/>
          <w:szCs w:val="21"/>
        </w:rPr>
        <w:t xml:space="preserve">A titre subsidiaire : sur le renvoi des fins de la poursuite du chef de verbalisation répétées </w:t>
      </w:r>
    </w:p>
    <w:p w:rsidR="00000000" w:rsidRDefault="00712BCE">
      <w:pPr>
        <w:pStyle w:val="Titre4"/>
        <w:rPr>
          <w:rFonts w:cs="Theinhardt"/>
          <w:szCs w:val="21"/>
        </w:rPr>
      </w:pPr>
      <w:r>
        <w:rPr>
          <w:rFonts w:cs="Theinhardt"/>
          <w:szCs w:val="21"/>
        </w:rPr>
        <w:t>Sur</w:t>
      </w:r>
      <w:r>
        <w:rPr>
          <w:rFonts w:cs="Theinhardt"/>
          <w:szCs w:val="21"/>
        </w:rPr>
        <w:t xml:space="preserve"> le nombre de verbalisation </w:t>
      </w:r>
    </w:p>
    <w:p w:rsidR="00000000" w:rsidRDefault="00712BCE">
      <w:pPr>
        <w:rPr>
          <w:rFonts w:cs="Theinhardt"/>
          <w:szCs w:val="21"/>
        </w:rPr>
      </w:pPr>
      <w:r>
        <w:rPr>
          <w:rFonts w:cs="Theinhardt"/>
          <w:szCs w:val="21"/>
        </w:rPr>
        <w:t xml:space="preserve">L'article L 3136-1, alinéa 4 du Code de la santé publique dispose que : </w:t>
      </w: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rPr>
          <w:rFonts w:cs="Theinhardt"/>
          <w:szCs w:val="21"/>
        </w:rPr>
      </w:pPr>
      <w:r>
        <w:rPr>
          <w:rFonts w:cs="Theinhardt"/>
          <w:szCs w:val="21"/>
        </w:rPr>
        <w:t>« </w:t>
      </w:r>
      <w:r>
        <w:rPr>
          <w:rFonts w:cs="Theinhardt"/>
          <w:i/>
          <w:iCs/>
          <w:szCs w:val="21"/>
        </w:rPr>
        <w:t xml:space="preserve">Si les violations prévues au troisième alinéa du présent article </w:t>
      </w:r>
      <w:r>
        <w:rPr>
          <w:rFonts w:cs="Theinhardt"/>
          <w:i/>
          <w:iCs/>
          <w:szCs w:val="21"/>
          <w:u w:val="single"/>
        </w:rPr>
        <w:t>sont verbalisées à plus de trois reprises</w:t>
      </w:r>
      <w:r>
        <w:rPr>
          <w:rFonts w:cs="Theinhardt"/>
          <w:i/>
          <w:iCs/>
          <w:szCs w:val="21"/>
        </w:rPr>
        <w:t xml:space="preserve"> dans un délai de trente jours, les faits son</w:t>
      </w:r>
      <w:r>
        <w:rPr>
          <w:rFonts w:cs="Theinhardt"/>
          <w:i/>
          <w:iCs/>
          <w:szCs w:val="21"/>
        </w:rPr>
        <w:t xml:space="preserve">t punis de six mois d'emprisonnement et de 3 750 € d'amende ainsi que de la peine complémentaire de travail d'intérêt général, selon les modalités prévues à l'article 131-8 du code pénal et selon les conditions prévues aux articles 131-22 à 131-24 du même </w:t>
      </w:r>
      <w:r>
        <w:rPr>
          <w:rFonts w:cs="Theinhardt"/>
          <w:i/>
          <w:iCs/>
          <w:szCs w:val="21"/>
        </w:rPr>
        <w:t>code, et de la peine complémentaire de suspension, pour une durée de trois ans au plus, du permis de conduire lorsque l'infraction a été commise à l'aide d'un véhicule.</w:t>
      </w:r>
      <w:r>
        <w:rPr>
          <w:rFonts w:cs="Theinhardt"/>
          <w:szCs w:val="21"/>
        </w:rPr>
        <w:t xml:space="preserve"> ». </w:t>
      </w: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rPr>
          <w:rFonts w:cs="Theinhardt"/>
          <w:szCs w:val="21"/>
        </w:rPr>
      </w:pPr>
      <w:r>
        <w:rPr>
          <w:rFonts w:cs="Theinhardt"/>
          <w:szCs w:val="21"/>
        </w:rPr>
        <w:t xml:space="preserve">Parallèlement, l'article 111-4 du Code pénal dispose que : </w:t>
      </w: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rPr>
          <w:rFonts w:cs="Theinhardt"/>
          <w:szCs w:val="21"/>
        </w:rPr>
      </w:pPr>
      <w:r>
        <w:rPr>
          <w:rFonts w:cs="Theinhardt"/>
          <w:szCs w:val="21"/>
        </w:rPr>
        <w:t>« </w:t>
      </w:r>
      <w:r>
        <w:rPr>
          <w:rFonts w:cs="Theinhardt"/>
          <w:i/>
          <w:iCs/>
          <w:szCs w:val="21"/>
        </w:rPr>
        <w:t>La loi pénale est d</w:t>
      </w:r>
      <w:r>
        <w:rPr>
          <w:rFonts w:cs="Theinhardt"/>
          <w:i/>
          <w:iCs/>
          <w:szCs w:val="21"/>
        </w:rPr>
        <w:t>'interprétation stricte.</w:t>
      </w:r>
      <w:r>
        <w:rPr>
          <w:rFonts w:cs="Theinhardt"/>
          <w:szCs w:val="21"/>
        </w:rPr>
        <w:t xml:space="preserve"> ». </w:t>
      </w: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rPr>
          <w:rFonts w:cs="Theinhardt"/>
          <w:szCs w:val="21"/>
        </w:rPr>
      </w:pPr>
      <w:r>
        <w:rPr>
          <w:rFonts w:cs="Theinhardt"/>
          <w:szCs w:val="21"/>
        </w:rPr>
        <w:t xml:space="preserve">Compte tenu de la nullité liée à l'enregistrement des contraventions le fichier ADOC, aucune verbalisation ne saurait être valablement retenue à l'encontre de Monsieur LAGARDERE. </w:t>
      </w: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rPr>
          <w:rFonts w:cs="Theinhardt"/>
          <w:szCs w:val="21"/>
        </w:rPr>
      </w:pPr>
      <w:r>
        <w:rPr>
          <w:rFonts w:cs="Theinhardt"/>
          <w:szCs w:val="21"/>
        </w:rPr>
        <w:t>Il est précisé que Monsieur LAGARDERE contest</w:t>
      </w:r>
      <w:r>
        <w:rPr>
          <w:rFonts w:cs="Theinhardt"/>
          <w:szCs w:val="21"/>
        </w:rPr>
        <w:t xml:space="preserve">e avoir été présent à l'endroit de la verbalisation (Rue du Comté de Melgueil à Montpellier). </w:t>
      </w: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rPr>
          <w:rFonts w:cs="Theinhardt"/>
          <w:szCs w:val="21"/>
        </w:rPr>
      </w:pPr>
      <w:r>
        <w:rPr>
          <w:rFonts w:cs="Theinhardt"/>
          <w:szCs w:val="21"/>
        </w:rPr>
        <w:t>Même à retenir les trois contraventions, il n'échappera pas au tribunal que Monsieur LAGARDERE aurait alors été verbalisé trois fois et non pas « </w:t>
      </w:r>
      <w:r>
        <w:rPr>
          <w:rFonts w:cs="Theinhardt"/>
          <w:i/>
          <w:iCs/>
          <w:szCs w:val="21"/>
        </w:rPr>
        <w:t xml:space="preserve">plus de trois </w:t>
      </w:r>
      <w:r>
        <w:rPr>
          <w:rFonts w:cs="Theinhardt"/>
          <w:i/>
          <w:iCs/>
          <w:szCs w:val="21"/>
        </w:rPr>
        <w:t>fois</w:t>
      </w:r>
      <w:r>
        <w:rPr>
          <w:rFonts w:cs="Theinhardt"/>
          <w:szCs w:val="21"/>
        </w:rPr>
        <w:t xml:space="preserve"> ». </w:t>
      </w: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rPr>
          <w:rFonts w:cs="Theinhardt"/>
          <w:szCs w:val="21"/>
        </w:rPr>
      </w:pPr>
      <w:r>
        <w:rPr>
          <w:rFonts w:cs="Theinhardt"/>
          <w:szCs w:val="21"/>
        </w:rPr>
        <w:t xml:space="preserve">Il eut fallu, afin que le délit soit constitué, que les gendarmes verbalisent effectivement Monsieur LAGARDERE le 24 avril 2020, ce qui n'a pas été fait. </w:t>
      </w: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rPr>
          <w:rFonts w:cs="Theinhardt"/>
          <w:szCs w:val="21"/>
        </w:rPr>
      </w:pPr>
      <w:r>
        <w:rPr>
          <w:rFonts w:cs="Theinhardt"/>
          <w:szCs w:val="21"/>
        </w:rPr>
        <w:t xml:space="preserve">En conséquence, le délit n'est pas caractérisé strictement au sens de la loi pénale. </w:t>
      </w:r>
    </w:p>
    <w:p w:rsidR="00000000" w:rsidRDefault="00712BCE">
      <w:pPr>
        <w:rPr>
          <w:rFonts w:cs="Theinhardt"/>
          <w:szCs w:val="21"/>
        </w:rPr>
      </w:pPr>
      <w:r>
        <w:rPr>
          <w:rFonts w:cs="Theinhardt"/>
          <w:szCs w:val="21"/>
        </w:rPr>
        <w:t>Il y</w:t>
      </w:r>
      <w:r>
        <w:rPr>
          <w:rFonts w:cs="Theinhardt"/>
          <w:szCs w:val="21"/>
        </w:rPr>
        <w:t xml:space="preserve"> aura donc lieu de renvoyer Monsieur LAGARDERE des fins de la poursuite du chef de verbalisation réitérées au sens de l'article L 3136-1 du Code de la santé publique. </w:t>
      </w: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pStyle w:val="Titre4"/>
        <w:rPr>
          <w:rFonts w:cs="Theinhardt"/>
          <w:szCs w:val="21"/>
        </w:rPr>
      </w:pPr>
      <w:r>
        <w:rPr>
          <w:rFonts w:cs="Theinhardt"/>
          <w:szCs w:val="21"/>
        </w:rPr>
        <w:t xml:space="preserve">Sur le caractère non-définitif des contraventions </w:t>
      </w:r>
    </w:p>
    <w:p w:rsidR="00000000" w:rsidRDefault="00712BCE">
      <w:pPr>
        <w:rPr>
          <w:rFonts w:cs="Theinhardt"/>
          <w:szCs w:val="21"/>
        </w:rPr>
      </w:pPr>
      <w:r>
        <w:rPr>
          <w:rFonts w:cs="Theinhardt"/>
          <w:szCs w:val="21"/>
        </w:rPr>
        <w:t>L'article 9 de la Déclaration des Dr</w:t>
      </w:r>
      <w:r>
        <w:rPr>
          <w:rFonts w:cs="Theinhardt"/>
          <w:szCs w:val="21"/>
        </w:rPr>
        <w:t>oits de l'Homme et du Citoyen de 1789 à laquelle le Conseil Constitutionnel a attribué valeur constitutionnelle par sa décision du 16 juillet 1971 « </w:t>
      </w:r>
      <w:r>
        <w:rPr>
          <w:rFonts w:cs="Theinhardt"/>
          <w:i/>
          <w:iCs/>
          <w:szCs w:val="21"/>
        </w:rPr>
        <w:t>Liberté d'association </w:t>
      </w:r>
      <w:r>
        <w:rPr>
          <w:rFonts w:cs="Theinhardt"/>
          <w:szCs w:val="21"/>
        </w:rPr>
        <w:t xml:space="preserve">» dispose que : </w:t>
      </w: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rPr>
          <w:rFonts w:cs="Theinhardt"/>
          <w:szCs w:val="21"/>
        </w:rPr>
      </w:pPr>
      <w:r>
        <w:rPr>
          <w:rFonts w:cs="Theinhardt"/>
          <w:szCs w:val="21"/>
        </w:rPr>
        <w:lastRenderedPageBreak/>
        <w:t>«</w:t>
      </w:r>
      <w:r>
        <w:rPr>
          <w:rFonts w:cs="Theinhardt"/>
          <w:i/>
          <w:iCs/>
          <w:szCs w:val="21"/>
        </w:rPr>
        <w:t> Tout homme étant présumé innocent jusqu'à ce qu'il ait été déclar</w:t>
      </w:r>
      <w:r>
        <w:rPr>
          <w:rFonts w:cs="Theinhardt"/>
          <w:i/>
          <w:iCs/>
          <w:szCs w:val="21"/>
        </w:rPr>
        <w:t>é coupable, s'il est jugé indispensable de l'arrêter, toute rigueur qui ne serait pas nécessaire pour s'assurer de sa personne doit être sévèrement réprimée par la loi.</w:t>
      </w:r>
      <w:r>
        <w:rPr>
          <w:rFonts w:cs="Theinhardt"/>
          <w:szCs w:val="21"/>
        </w:rPr>
        <w:t xml:space="preserve"> ». </w:t>
      </w:r>
    </w:p>
    <w:p w:rsidR="00000000" w:rsidRDefault="00712BCE">
      <w:pPr>
        <w:rPr>
          <w:rFonts w:cs="Theinhardt"/>
          <w:szCs w:val="21"/>
        </w:rPr>
      </w:pPr>
      <w:r>
        <w:rPr>
          <w:rFonts w:cs="Theinhardt"/>
          <w:szCs w:val="21"/>
        </w:rPr>
        <w:t>Dans le cas d'espèce, il ressort de l'article L 3136-1, alinéa 4 du Code de la sant</w:t>
      </w:r>
      <w:r>
        <w:rPr>
          <w:rFonts w:cs="Theinhardt"/>
          <w:szCs w:val="21"/>
        </w:rPr>
        <w:t xml:space="preserve">é publique, base des poursuites pénales devant la présente juridiction, dispose que : </w:t>
      </w: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rPr>
          <w:rFonts w:cs="Theinhardt"/>
          <w:szCs w:val="21"/>
        </w:rPr>
      </w:pPr>
      <w:r>
        <w:rPr>
          <w:rFonts w:cs="Theinhardt"/>
          <w:i/>
          <w:iCs/>
          <w:szCs w:val="21"/>
        </w:rPr>
        <w:t xml:space="preserve">« Si les violations prévues au troisième alinéa du présent article sont verbalisées à plus de trois reprises dans un délai de trente jours, les faits sont punis de six </w:t>
      </w:r>
      <w:r>
        <w:rPr>
          <w:rFonts w:cs="Theinhardt"/>
          <w:i/>
          <w:iCs/>
          <w:szCs w:val="21"/>
        </w:rPr>
        <w:t xml:space="preserve">mois d'emprisonnement et de 3 750 € d'amende ainsi que de la peine complémentaire de travail d'intérêt général, selon les modalités prévues à l'article 131-8 du code pénal et selon les conditions prévues aux articles 131-22 à 131-24 du même code, et de la </w:t>
      </w:r>
      <w:r>
        <w:rPr>
          <w:rFonts w:cs="Theinhardt"/>
          <w:i/>
          <w:iCs/>
          <w:szCs w:val="21"/>
        </w:rPr>
        <w:t xml:space="preserve">peine complémentaire de suspension, pour une durée de trois ans au plus, du permis de conduire lorsque l'infraction a été commise à l'aide d'un véhicule. ». </w:t>
      </w: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rPr>
          <w:rFonts w:cs="Theinhardt"/>
          <w:szCs w:val="21"/>
        </w:rPr>
      </w:pPr>
      <w:r>
        <w:rPr>
          <w:rFonts w:cs="Theinhardt"/>
          <w:szCs w:val="21"/>
        </w:rPr>
        <w:t>Dans le cas d'espèce, l'article 529-2 du Code de procédure pénale dispose que  :</w:t>
      </w: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rPr>
          <w:rFonts w:cs="Theinhardt"/>
          <w:i/>
          <w:iCs/>
          <w:szCs w:val="21"/>
        </w:rPr>
      </w:pPr>
      <w:r>
        <w:rPr>
          <w:rFonts w:cs="Theinhardt"/>
          <w:szCs w:val="21"/>
        </w:rPr>
        <w:t>« </w:t>
      </w:r>
      <w:r>
        <w:rPr>
          <w:rFonts w:cs="Theinhardt"/>
          <w:i/>
          <w:iCs/>
          <w:szCs w:val="21"/>
        </w:rPr>
        <w:t>Dans le délai</w:t>
      </w:r>
      <w:r>
        <w:rPr>
          <w:rFonts w:cs="Theinhardt"/>
          <w:i/>
          <w:iCs/>
          <w:szCs w:val="21"/>
        </w:rPr>
        <w:t xml:space="preserve"> prévu par l'article précédent, le contrevenant doit s'acquitter du montant de l'amende forfaitaire, à moins qu'il ne formule dans le même délai une requête tendant à son exonération auprès du service indiqué dans l'avis de contravention. Dans les cas prév</w:t>
      </w:r>
      <w:r>
        <w:rPr>
          <w:rFonts w:cs="Theinhardt"/>
          <w:i/>
          <w:iCs/>
          <w:szCs w:val="21"/>
        </w:rPr>
        <w:t>us par l'article 529-10, cette requête doit être accompagnée de l'un des documents exigés par cet article. Cette requête est transmise au ministère public.</w:t>
      </w:r>
    </w:p>
    <w:p w:rsidR="00000000" w:rsidRDefault="00712BCE">
      <w:pPr>
        <w:rPr>
          <w:rFonts w:cs="Theinhardt"/>
          <w:szCs w:val="21"/>
        </w:rPr>
      </w:pPr>
      <w:r>
        <w:rPr>
          <w:rFonts w:cs="Theinhardt"/>
          <w:i/>
          <w:iCs/>
          <w:szCs w:val="21"/>
        </w:rPr>
        <w:t xml:space="preserve">A défaut de paiement ou d'une requête présentée </w:t>
      </w:r>
      <w:r>
        <w:rPr>
          <w:rFonts w:cs="Theinhardt"/>
          <w:b/>
          <w:bCs/>
          <w:i/>
          <w:iCs/>
          <w:szCs w:val="21"/>
          <w:u w:val="single"/>
        </w:rPr>
        <w:t>dans le délai de quarante-cinq jours</w:t>
      </w:r>
      <w:r>
        <w:rPr>
          <w:rFonts w:cs="Theinhardt"/>
          <w:i/>
          <w:iCs/>
          <w:szCs w:val="21"/>
        </w:rPr>
        <w:t>, l'amende forfa</w:t>
      </w:r>
      <w:r>
        <w:rPr>
          <w:rFonts w:cs="Theinhardt"/>
          <w:i/>
          <w:iCs/>
          <w:szCs w:val="21"/>
        </w:rPr>
        <w:t>itaire est majorée de plein droit et recouvrée au profit du Trésor public en vertu d'un titre rendu exécutoire par le ministère public</w:t>
      </w:r>
      <w:r>
        <w:rPr>
          <w:rFonts w:cs="Theinhardt"/>
          <w:szCs w:val="21"/>
        </w:rPr>
        <w:t> ».</w:t>
      </w: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rPr>
          <w:rFonts w:cs="Theinhardt"/>
          <w:szCs w:val="21"/>
        </w:rPr>
      </w:pPr>
      <w:r>
        <w:rPr>
          <w:rFonts w:cs="Theinhardt"/>
          <w:szCs w:val="21"/>
        </w:rPr>
        <w:t>Par ailleurs, l'article 4 de l'ordonnance n° 2020-303 du 25 mars 2020 portant adaptation de règles de procédure pénal</w:t>
      </w:r>
      <w:r>
        <w:rPr>
          <w:rFonts w:cs="Theinhardt"/>
          <w:szCs w:val="21"/>
        </w:rPr>
        <w:t>es sur le fondement de la loi n°2020-290 du 23 ars 2020</w:t>
      </w:r>
      <w:bookmarkStart w:id="0" w:name="_GoBack"/>
      <w:bookmarkEnd w:id="0"/>
      <w:r>
        <w:rPr>
          <w:rFonts w:cs="Theinhardt"/>
          <w:szCs w:val="21"/>
        </w:rPr>
        <w:t xml:space="preserve"> dispose que : </w:t>
      </w: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rPr>
          <w:rFonts w:cs="Theinhardt"/>
          <w:szCs w:val="21"/>
        </w:rPr>
      </w:pPr>
      <w:r>
        <w:rPr>
          <w:rFonts w:cs="Theinhardt"/>
          <w:szCs w:val="21"/>
        </w:rPr>
        <w:t>« </w:t>
      </w:r>
      <w:r>
        <w:rPr>
          <w:rFonts w:cs="Theinhardt"/>
          <w:i/>
          <w:iCs/>
          <w:szCs w:val="21"/>
        </w:rPr>
        <w:t>Les délais fixés par les dispositions du code de procédure pénale pour l'exercice d'une voie de recours sont doublés sans pouvoir être inférieurs à dix jours</w:t>
      </w:r>
      <w:r>
        <w:rPr>
          <w:rFonts w:cs="Theinhardt"/>
          <w:szCs w:val="21"/>
        </w:rPr>
        <w:t> ».</w:t>
      </w: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rPr>
          <w:rFonts w:cs="Theinhardt"/>
          <w:szCs w:val="21"/>
        </w:rPr>
      </w:pPr>
      <w:r>
        <w:rPr>
          <w:rFonts w:cs="Theinhardt"/>
          <w:szCs w:val="21"/>
        </w:rPr>
        <w:t>Les contrevenants di</w:t>
      </w:r>
      <w:r>
        <w:rPr>
          <w:rFonts w:cs="Theinhardt"/>
          <w:szCs w:val="21"/>
        </w:rPr>
        <w:t xml:space="preserve">sposent dès lors d'un délai de 90 jours afin de contester </w:t>
      </w: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rPr>
          <w:rFonts w:cs="Theinhardt"/>
          <w:szCs w:val="21"/>
        </w:rPr>
      </w:pPr>
      <w:r>
        <w:rPr>
          <w:rFonts w:cs="Theinhardt"/>
          <w:szCs w:val="21"/>
        </w:rPr>
        <w:t>Le délit est, par ailleurs, caractérisé, dès lors que quatre contraventions établies dans un délai de trente (30) jours.</w:t>
      </w: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rPr>
          <w:rFonts w:cs="Theinhardt"/>
          <w:szCs w:val="21"/>
        </w:rPr>
      </w:pPr>
      <w:r>
        <w:rPr>
          <w:rFonts w:cs="Theinhardt"/>
          <w:szCs w:val="21"/>
        </w:rPr>
        <w:t>Il apparaît donc que quatre contraventions établies dans un délai de trent</w:t>
      </w:r>
      <w:r>
        <w:rPr>
          <w:rFonts w:cs="Theinhardt"/>
          <w:szCs w:val="21"/>
        </w:rPr>
        <w:t xml:space="preserve">e jours ne seraient pas définitives en application des textes précités, le contrevenant disposant de 90 jours pour les contester. </w:t>
      </w: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rPr>
          <w:rFonts w:cs="Theinhardt"/>
          <w:szCs w:val="21"/>
        </w:rPr>
      </w:pPr>
      <w:r>
        <w:rPr>
          <w:rFonts w:cs="Theinhardt"/>
          <w:szCs w:val="21"/>
        </w:rPr>
        <w:lastRenderedPageBreak/>
        <w:t xml:space="preserve">La caractérisation d'un délit ne saurait, dès lors, être basée sur la réitération de contravention (donc d'infractions à la </w:t>
      </w:r>
      <w:r>
        <w:rPr>
          <w:rFonts w:cs="Theinhardt"/>
          <w:szCs w:val="21"/>
        </w:rPr>
        <w:t xml:space="preserve">loi pénale) non définitives et </w:t>
      </w:r>
      <w:r>
        <w:rPr>
          <w:rFonts w:cs="Theinhardt"/>
          <w:i/>
          <w:iCs/>
          <w:szCs w:val="21"/>
        </w:rPr>
        <w:t>de facto</w:t>
      </w:r>
      <w:r>
        <w:rPr>
          <w:rFonts w:cs="Theinhardt"/>
          <w:szCs w:val="21"/>
        </w:rPr>
        <w:t xml:space="preserve"> pour lesquelles le principe de la présomption d'innocence s'applique. </w:t>
      </w: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rPr>
          <w:rFonts w:cs="Theinhardt"/>
          <w:szCs w:val="21"/>
        </w:rPr>
      </w:pPr>
      <w:r>
        <w:rPr>
          <w:rFonts w:cs="Theinhardt"/>
          <w:szCs w:val="21"/>
        </w:rPr>
        <w:t>En effet, Monsieur LAGARDERE dispose d'un délai de 90 jours afin de contester ces contraventions, lesquelles n'avaient donc pas un caractère déf</w:t>
      </w:r>
      <w:r>
        <w:rPr>
          <w:rFonts w:cs="Theinhardt"/>
          <w:szCs w:val="21"/>
        </w:rPr>
        <w:t xml:space="preserve">initif. </w:t>
      </w: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rPr>
          <w:rFonts w:cs="Theinhardt"/>
          <w:szCs w:val="21"/>
        </w:rPr>
      </w:pPr>
      <w:r>
        <w:rPr>
          <w:rFonts w:cs="Theinhardt"/>
          <w:szCs w:val="21"/>
        </w:rPr>
        <w:t xml:space="preserve">En conséquence, il y aura lieu de constater que la condamnation de Monsieur LAGARDERE contreviendrait au principe de la présomption d'innocence quant aux contraventions. </w:t>
      </w: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pStyle w:val="Titre3"/>
      </w:pPr>
      <w:r>
        <w:t xml:space="preserve">Sur le renvoi des fins de la poursuite du chef de l'usage de stupéfiants </w:t>
      </w:r>
    </w:p>
    <w:p w:rsidR="00000000" w:rsidRDefault="00712BCE">
      <w:r>
        <w:t>Il est établi que « </w:t>
      </w:r>
      <w:r>
        <w:rPr>
          <w:i/>
          <w:iCs/>
        </w:rPr>
        <w:t xml:space="preserve">en vertu de la règle </w:t>
      </w:r>
      <w:r>
        <w:t>non bis in idem</w:t>
      </w:r>
      <w:r>
        <w:rPr>
          <w:i/>
          <w:iCs/>
        </w:rPr>
        <w:t xml:space="preserve"> un même fait, autrement qualifié, ne saurait donner lieu à une double déclaration de culpabilité </w:t>
      </w:r>
      <w:r>
        <w:t>» (en ce sens, notamment, Cour de cassation, chambre criminelle, 23 décembre 1968, pourvoi n° 67-91.20</w:t>
      </w:r>
      <w:r>
        <w:t xml:space="preserve">3). </w:t>
      </w:r>
    </w:p>
    <w:p w:rsidR="00000000" w:rsidRDefault="00712BCE"/>
    <w:p w:rsidR="00000000" w:rsidRDefault="00712BCE">
      <w:r>
        <w:t xml:space="preserve">La même position a par ailleurs été rappelée par la Cour Européenne des Droits de l'Homme dans un arrêt du 10 février 2009 (aff. : ZOLOOUKHINE c. RUSSIE) au paragraphe 82 (pièce n° 2) : </w:t>
      </w:r>
    </w:p>
    <w:p w:rsidR="00000000" w:rsidRDefault="00712BCE"/>
    <w:p w:rsidR="00000000" w:rsidRDefault="00712BCE">
      <w:r>
        <w:rPr>
          <w:rFonts w:cs="Theinhardt"/>
          <w:szCs w:val="21"/>
        </w:rPr>
        <w:t>«</w:t>
      </w:r>
      <w:r>
        <w:rPr>
          <w:rFonts w:cs="Theinhardt"/>
          <w:i/>
          <w:iCs/>
          <w:szCs w:val="21"/>
        </w:rPr>
        <w:t> 82.  En conséquence, l’article 4 du Protocole no 7 doit être</w:t>
      </w:r>
      <w:r>
        <w:rPr>
          <w:rFonts w:cs="Theinhardt"/>
          <w:i/>
          <w:iCs/>
          <w:szCs w:val="21"/>
        </w:rPr>
        <w:t xml:space="preserve"> compris comme interdisant de poursuivre ou de juger une personne pour une seconde « infraction » pour autant que celle-ci a pour origine des faits identiques ou des faits qui sont en substance les mêmes.</w:t>
      </w:r>
      <w:r>
        <w:rPr>
          <w:rFonts w:cs="Theinhardt"/>
          <w:szCs w:val="21"/>
        </w:rPr>
        <w:t xml:space="preserve"> ». </w:t>
      </w:r>
    </w:p>
    <w:p w:rsidR="00000000" w:rsidRDefault="00712BCE"/>
    <w:p w:rsidR="00000000" w:rsidRDefault="00712BCE">
      <w:r>
        <w:t>Il apparaît pourtant que c'est la même consomm</w:t>
      </w:r>
      <w:r>
        <w:t xml:space="preserve">ation de produits stupéfiants qui est à l'origine de la double poursuite à l'encontre de Monsieur </w:t>
      </w:r>
      <w:r>
        <w:t>LAGARDERE</w:t>
      </w:r>
      <w:r>
        <w:t xml:space="preserve">. </w:t>
      </w:r>
    </w:p>
    <w:p w:rsidR="00000000" w:rsidRDefault="00712BCE"/>
    <w:p w:rsidR="00000000" w:rsidRDefault="00712BCE">
      <w:pPr>
        <w:rPr>
          <w:rFonts w:cs="Theinhardt"/>
          <w:szCs w:val="21"/>
        </w:rPr>
      </w:pPr>
      <w:r>
        <w:rPr>
          <w:rFonts w:cs="Theinhardt"/>
          <w:szCs w:val="21"/>
        </w:rPr>
        <w:t>Il y aura donc lieu de ne retenir les faits que sous leur plus haute qualification pénale et de renvoyer Monsieur LAGARDERE des fins de la poursu</w:t>
      </w:r>
      <w:r>
        <w:rPr>
          <w:rFonts w:cs="Theinhardt"/>
          <w:szCs w:val="21"/>
        </w:rPr>
        <w:t xml:space="preserve">ite s'agissant de l'infraction d'usage de stupéfiants. </w:t>
      </w: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rPr>
          <w:rFonts w:cs="Theinhardt"/>
        </w:rPr>
      </w:pPr>
      <w:r>
        <w:rPr>
          <w:rFonts w:cs="Theinhardt"/>
          <w:szCs w:val="21"/>
        </w:rPr>
        <w:t xml:space="preserve">Cette position a notamment été adoptée par la Cour d'Appel de Montpellier dans un arrêt du 14 octobre 2019. </w:t>
      </w:r>
    </w:p>
    <w:p w:rsidR="00000000" w:rsidRDefault="00712BCE">
      <w:pPr>
        <w:pStyle w:val="Titre1"/>
        <w:pageBreakBefore/>
        <w:rPr>
          <w:rStyle w:val="lev"/>
          <w:rFonts w:cs="Theinhardt"/>
          <w:b w:val="0"/>
          <w:bCs w:val="0"/>
          <w:sz w:val="21"/>
          <w:szCs w:val="21"/>
        </w:rPr>
      </w:pPr>
      <w:r>
        <w:rPr>
          <w:rFonts w:cs="Theinhardt"/>
        </w:rPr>
        <w:lastRenderedPageBreak/>
        <w:t xml:space="preserve">PAR CES MOTIFS </w:t>
      </w:r>
    </w:p>
    <w:p w:rsidR="00000000" w:rsidRDefault="00712BCE">
      <w:pPr>
        <w:rPr>
          <w:rStyle w:val="lev"/>
          <w:rFonts w:cs="Theinhardt"/>
          <w:b w:val="0"/>
          <w:bCs w:val="0"/>
          <w:szCs w:val="21"/>
        </w:rPr>
      </w:pPr>
      <w:r>
        <w:rPr>
          <w:rStyle w:val="lev"/>
          <w:rFonts w:cs="Theinhardt"/>
          <w:b w:val="0"/>
          <w:bCs w:val="0"/>
          <w:szCs w:val="21"/>
        </w:rPr>
        <w:t>Vu l'article 9 de la Déclaration des Droits de l'Homme et du Citoyen de 17</w:t>
      </w:r>
      <w:r>
        <w:rPr>
          <w:rStyle w:val="lev"/>
          <w:rFonts w:cs="Theinhardt"/>
          <w:b w:val="0"/>
          <w:bCs w:val="0"/>
          <w:szCs w:val="21"/>
        </w:rPr>
        <w:t>89</w:t>
      </w:r>
    </w:p>
    <w:p w:rsidR="00000000" w:rsidRDefault="00712BCE">
      <w:pPr>
        <w:rPr>
          <w:rStyle w:val="lev"/>
          <w:rFonts w:cs="Theinhardt"/>
          <w:b w:val="0"/>
          <w:bCs w:val="0"/>
          <w:szCs w:val="21"/>
        </w:rPr>
      </w:pPr>
      <w:r>
        <w:rPr>
          <w:rStyle w:val="lev"/>
          <w:rFonts w:cs="Theinhardt"/>
          <w:b w:val="0"/>
          <w:bCs w:val="0"/>
          <w:szCs w:val="21"/>
        </w:rPr>
        <w:t xml:space="preserve">Vu les articles 63, I, 393, 395 529-2 alinéa 1 et 802 du Code de procédure pénale ; </w:t>
      </w:r>
    </w:p>
    <w:p w:rsidR="00000000" w:rsidRDefault="00712BCE">
      <w:pPr>
        <w:rPr>
          <w:rStyle w:val="lev"/>
          <w:rFonts w:cs="Theinhardt"/>
          <w:b w:val="0"/>
          <w:bCs w:val="0"/>
          <w:szCs w:val="21"/>
        </w:rPr>
      </w:pPr>
      <w:r>
        <w:rPr>
          <w:rStyle w:val="lev"/>
          <w:rFonts w:cs="Theinhardt"/>
          <w:b w:val="0"/>
          <w:bCs w:val="0"/>
          <w:szCs w:val="21"/>
        </w:rPr>
        <w:t xml:space="preserve">Vu l'article L 3136-1, alinéa 4 du Code de la santé publique </w:t>
      </w:r>
    </w:p>
    <w:p w:rsidR="00000000" w:rsidRDefault="00712BCE">
      <w:pPr>
        <w:rPr>
          <w:rStyle w:val="lev"/>
          <w:rFonts w:cs="Theinhardt"/>
          <w:b w:val="0"/>
          <w:bCs w:val="0"/>
          <w:szCs w:val="21"/>
        </w:rPr>
      </w:pPr>
      <w:r>
        <w:rPr>
          <w:rStyle w:val="lev"/>
          <w:rFonts w:cs="Theinhardt"/>
          <w:b w:val="0"/>
          <w:bCs w:val="0"/>
          <w:szCs w:val="21"/>
        </w:rPr>
        <w:t xml:space="preserve">Vu l'article 111-4 du Code pénal </w:t>
      </w:r>
    </w:p>
    <w:p w:rsidR="00000000" w:rsidRDefault="00712BCE">
      <w:pPr>
        <w:rPr>
          <w:rStyle w:val="lev"/>
          <w:rFonts w:cs="Theinhardt"/>
          <w:b w:val="0"/>
          <w:bCs w:val="0"/>
          <w:szCs w:val="21"/>
        </w:rPr>
      </w:pPr>
      <w:r>
        <w:rPr>
          <w:rStyle w:val="lev"/>
          <w:rFonts w:cs="Theinhardt"/>
          <w:b w:val="0"/>
          <w:bCs w:val="0"/>
          <w:szCs w:val="21"/>
        </w:rPr>
        <w:t>Vu l'article 4 de l'ordonnance n° 2020-303 du 25 mars 2020</w:t>
      </w:r>
    </w:p>
    <w:p w:rsidR="00000000" w:rsidRDefault="00712BCE">
      <w:pPr>
        <w:rPr>
          <w:rStyle w:val="lev"/>
          <w:rFonts w:cs="Theinhardt"/>
          <w:b w:val="0"/>
          <w:bCs w:val="0"/>
          <w:szCs w:val="21"/>
        </w:rPr>
      </w:pPr>
      <w:r>
        <w:rPr>
          <w:rStyle w:val="lev"/>
          <w:rFonts w:cs="Theinhardt"/>
          <w:b w:val="0"/>
          <w:bCs w:val="0"/>
          <w:szCs w:val="21"/>
        </w:rPr>
        <w:t xml:space="preserve">Vu l'article </w:t>
      </w:r>
      <w:r>
        <w:rPr>
          <w:rStyle w:val="lev"/>
          <w:rFonts w:cs="Theinhardt"/>
          <w:b w:val="0"/>
          <w:bCs w:val="0"/>
          <w:szCs w:val="21"/>
        </w:rPr>
        <w:t>1 de l'arrêté du 13 octobre 2004 portant création du système de contrôle automatisé</w:t>
      </w:r>
    </w:p>
    <w:p w:rsidR="00000000" w:rsidRDefault="00712BCE">
      <w:pPr>
        <w:rPr>
          <w:rFonts w:cs="Theinhardt"/>
          <w:szCs w:val="21"/>
        </w:rPr>
      </w:pPr>
      <w:r>
        <w:rPr>
          <w:rStyle w:val="lev"/>
          <w:rFonts w:cs="Theinhardt"/>
          <w:b w:val="0"/>
          <w:bCs w:val="0"/>
          <w:szCs w:val="21"/>
        </w:rPr>
        <w:t>Vu l'arrêté du 14 avril 2020 publié le 16 avril 2020</w:t>
      </w:r>
    </w:p>
    <w:p w:rsidR="00000000" w:rsidRDefault="00712BCE">
      <w:pPr>
        <w:rPr>
          <w:rFonts w:cs="Theinhardt"/>
          <w:szCs w:val="21"/>
        </w:rPr>
      </w:pPr>
      <w:r>
        <w:rPr>
          <w:rFonts w:cs="Theinhardt"/>
          <w:szCs w:val="21"/>
        </w:rPr>
        <w:t xml:space="preserve">Vu la jurisprudence du Conseil constitutionnel ; </w:t>
      </w:r>
    </w:p>
    <w:p w:rsidR="00000000" w:rsidRDefault="00712BCE">
      <w:pPr>
        <w:rPr>
          <w:rFonts w:cs="Theinhardt"/>
          <w:szCs w:val="21"/>
        </w:rPr>
      </w:pPr>
      <w:r>
        <w:rPr>
          <w:rFonts w:cs="Theinhardt"/>
          <w:szCs w:val="21"/>
        </w:rPr>
        <w:t xml:space="preserve">Vu la jurisprudence de la Cour Européenne des Droits de l'Homme ; </w:t>
      </w:r>
    </w:p>
    <w:p w:rsidR="00000000" w:rsidRDefault="00712BCE">
      <w:pPr>
        <w:rPr>
          <w:rFonts w:cs="Theinhardt"/>
          <w:szCs w:val="21"/>
        </w:rPr>
      </w:pPr>
      <w:r>
        <w:rPr>
          <w:rFonts w:cs="Theinhardt"/>
          <w:szCs w:val="21"/>
        </w:rPr>
        <w:t>Vu</w:t>
      </w:r>
      <w:r>
        <w:rPr>
          <w:rFonts w:cs="Theinhardt"/>
          <w:szCs w:val="21"/>
        </w:rPr>
        <w:t xml:space="preserve"> la jurisprudence de la Cour de cassation ; </w:t>
      </w:r>
    </w:p>
    <w:p w:rsidR="00000000" w:rsidRDefault="00712BCE">
      <w:pPr>
        <w:rPr>
          <w:rFonts w:cs="Theinhardt"/>
          <w:szCs w:val="21"/>
        </w:rPr>
      </w:pPr>
      <w:r>
        <w:rPr>
          <w:rFonts w:cs="Theinhardt"/>
          <w:szCs w:val="21"/>
        </w:rPr>
        <w:t xml:space="preserve">Vu la jurisprudence la Cour d'Appel de Montpellier </w:t>
      </w: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jc w:val="center"/>
        <w:rPr>
          <w:rFonts w:cs="Theinhardt"/>
          <w:szCs w:val="21"/>
        </w:rPr>
      </w:pPr>
      <w:r>
        <w:rPr>
          <w:rFonts w:cs="Theinhardt"/>
          <w:i/>
          <w:iCs/>
          <w:szCs w:val="21"/>
        </w:rPr>
        <w:t>Il est demandé au Tribunal correctionnel de Montpellier de bien vouloir :</w:t>
      </w:r>
      <w:r>
        <w:rPr>
          <w:rFonts w:cs="Theinhardt"/>
          <w:szCs w:val="21"/>
        </w:rPr>
        <w:t xml:space="preserve"> </w:t>
      </w: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jc w:val="center"/>
        <w:rPr>
          <w:rFonts w:cs="Theinhardt"/>
          <w:szCs w:val="21"/>
        </w:rPr>
      </w:pPr>
      <w:r>
        <w:rPr>
          <w:rFonts w:cs="Theinhardt"/>
          <w:i/>
          <w:iCs/>
          <w:szCs w:val="21"/>
        </w:rPr>
        <w:t>A titre principal :</w:t>
      </w:r>
      <w:r>
        <w:rPr>
          <w:rFonts w:cs="Theinhardt"/>
          <w:szCs w:val="21"/>
        </w:rPr>
        <w:t xml:space="preserve"> </w:t>
      </w: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rPr>
          <w:rFonts w:cs="Theinhardt"/>
          <w:szCs w:val="21"/>
        </w:rPr>
      </w:pPr>
      <w:r>
        <w:rPr>
          <w:rFonts w:cs="Theinhardt"/>
          <w:b/>
          <w:bCs/>
          <w:szCs w:val="21"/>
        </w:rPr>
        <w:t>ANNULER</w:t>
      </w:r>
      <w:r>
        <w:rPr>
          <w:rFonts w:cs="Theinhardt"/>
          <w:szCs w:val="21"/>
        </w:rPr>
        <w:t xml:space="preserve"> la mesure de garde à vue dont a fait l'objet Monsieu</w:t>
      </w:r>
      <w:r>
        <w:rPr>
          <w:rFonts w:cs="Theinhardt"/>
          <w:szCs w:val="21"/>
        </w:rPr>
        <w:t xml:space="preserve">r Rémy LAGARDERE ; </w:t>
      </w: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rPr>
          <w:rFonts w:cs="Theinhardt"/>
          <w:szCs w:val="21"/>
        </w:rPr>
      </w:pPr>
      <w:r>
        <w:rPr>
          <w:rFonts w:cs="Theinhardt"/>
          <w:i/>
          <w:iCs/>
          <w:szCs w:val="21"/>
        </w:rPr>
        <w:t>En conséquence :</w:t>
      </w:r>
      <w:r>
        <w:rPr>
          <w:rFonts w:cs="Theinhardt"/>
          <w:szCs w:val="21"/>
        </w:rPr>
        <w:t xml:space="preserve"> </w:t>
      </w: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rPr>
          <w:rFonts w:cs="Theinhardt"/>
          <w:szCs w:val="21"/>
        </w:rPr>
      </w:pPr>
      <w:r>
        <w:rPr>
          <w:rFonts w:cs="Theinhardt"/>
          <w:b/>
          <w:bCs/>
          <w:szCs w:val="21"/>
        </w:rPr>
        <w:t>DIRE</w:t>
      </w:r>
      <w:r>
        <w:rPr>
          <w:rFonts w:cs="Theinhardt"/>
          <w:szCs w:val="21"/>
        </w:rPr>
        <w:t xml:space="preserve"> que le tribunal correctionnel de Montpellier n'est pas valablement saisi des poursuites à l'encontre de Monsieur LAGARDERE ; </w:t>
      </w: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rPr>
          <w:rFonts w:cs="Theinhardt"/>
          <w:szCs w:val="21"/>
        </w:rPr>
      </w:pPr>
      <w:r>
        <w:rPr>
          <w:rFonts w:cs="Theinhardt"/>
          <w:b/>
          <w:bCs/>
          <w:szCs w:val="21"/>
        </w:rPr>
        <w:t>ANNULER ET SUBISIDIAIREMENT ECARTER</w:t>
      </w:r>
      <w:r>
        <w:rPr>
          <w:rFonts w:cs="Theinhardt"/>
          <w:szCs w:val="21"/>
        </w:rPr>
        <w:t xml:space="preserve"> les contraventions des 2 avril 2020, 12 avril 20</w:t>
      </w:r>
      <w:r>
        <w:rPr>
          <w:rFonts w:cs="Theinhardt"/>
          <w:szCs w:val="21"/>
        </w:rPr>
        <w:t xml:space="preserve">20 et 15 avril 2020 qui auraient été adressées à Monsieur LAGARDERE pour avoir été obtenues en violation de la finalité du fichier automatisé de données à caractère personnel créé par l'arrêté du 13 octobre 2004 ; </w:t>
      </w: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jc w:val="center"/>
        <w:rPr>
          <w:rFonts w:cs="Theinhardt"/>
          <w:szCs w:val="21"/>
        </w:rPr>
      </w:pPr>
      <w:r>
        <w:rPr>
          <w:rFonts w:cs="Theinhardt"/>
          <w:i/>
          <w:iCs/>
          <w:szCs w:val="21"/>
        </w:rPr>
        <w:t xml:space="preserve">A titre subsidiaire : </w:t>
      </w: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rPr>
          <w:rFonts w:cs="Theinhardt"/>
          <w:szCs w:val="21"/>
        </w:rPr>
      </w:pPr>
      <w:r>
        <w:rPr>
          <w:rFonts w:cs="Theinhardt"/>
          <w:b/>
          <w:bCs/>
          <w:szCs w:val="21"/>
        </w:rPr>
        <w:t>CONSTATER</w:t>
      </w:r>
      <w:r>
        <w:rPr>
          <w:rFonts w:cs="Theinhardt"/>
          <w:szCs w:val="21"/>
        </w:rPr>
        <w:t xml:space="preserve"> que M</w:t>
      </w:r>
      <w:r>
        <w:rPr>
          <w:rFonts w:cs="Theinhardt"/>
          <w:szCs w:val="21"/>
        </w:rPr>
        <w:t xml:space="preserve">onsieur LAGARDERE n'a pas été verbalisé à plus de trois reprises sur une période de trente jours ; </w:t>
      </w: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rPr>
          <w:rFonts w:cs="Theinhardt"/>
          <w:szCs w:val="21"/>
        </w:rPr>
      </w:pPr>
      <w:r>
        <w:rPr>
          <w:rFonts w:cs="Theinhardt"/>
          <w:b/>
          <w:bCs/>
          <w:szCs w:val="21"/>
        </w:rPr>
        <w:t>CONSTATER</w:t>
      </w:r>
      <w:r>
        <w:rPr>
          <w:rFonts w:cs="Theinhardt"/>
          <w:szCs w:val="21"/>
        </w:rPr>
        <w:t xml:space="preserve"> que le délai de contestation des contraventions des 2 avril 2020, 12 avril 2020 et 15 avril 2020 ne permettait pas de conférer à ces contraventio</w:t>
      </w:r>
      <w:r>
        <w:rPr>
          <w:rFonts w:cs="Theinhardt"/>
          <w:szCs w:val="21"/>
        </w:rPr>
        <w:t xml:space="preserve">ns un caractère définitif ; </w:t>
      </w: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rPr>
          <w:rFonts w:cs="Theinhardt"/>
          <w:szCs w:val="21"/>
        </w:rPr>
      </w:pPr>
      <w:r>
        <w:rPr>
          <w:rFonts w:cs="Theinhardt"/>
          <w:i/>
          <w:iCs/>
          <w:szCs w:val="21"/>
        </w:rPr>
        <w:lastRenderedPageBreak/>
        <w:t>En conséquence :</w:t>
      </w:r>
      <w:r>
        <w:rPr>
          <w:rFonts w:cs="Theinhardt"/>
          <w:szCs w:val="21"/>
        </w:rPr>
        <w:t xml:space="preserve"> </w:t>
      </w: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rPr>
          <w:rFonts w:cs="Theinhardt"/>
          <w:szCs w:val="21"/>
        </w:rPr>
      </w:pPr>
      <w:r>
        <w:rPr>
          <w:rFonts w:cs="Theinhardt"/>
          <w:b/>
          <w:bCs/>
          <w:szCs w:val="21"/>
        </w:rPr>
        <w:t>RENVOYER</w:t>
      </w:r>
      <w:r>
        <w:rPr>
          <w:rFonts w:cs="Theinhardt"/>
          <w:szCs w:val="21"/>
        </w:rPr>
        <w:t xml:space="preserve"> Monsieur Rémy LAGARDERE des fins de la poursuite s'agissant du délit prévu à l'article L 3136-1, alinéa 4 du Code de la santé publique ; </w:t>
      </w: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rPr>
          <w:rFonts w:cs="Theinhardt"/>
          <w:szCs w:val="21"/>
        </w:rPr>
      </w:pPr>
      <w:r>
        <w:rPr>
          <w:rFonts w:cs="Theinhardt"/>
          <w:b/>
          <w:bCs/>
          <w:szCs w:val="21"/>
        </w:rPr>
        <w:t>RENVOYER</w:t>
      </w:r>
      <w:r>
        <w:rPr>
          <w:rFonts w:cs="Theinhardt"/>
          <w:szCs w:val="21"/>
        </w:rPr>
        <w:t xml:space="preserve"> Monsieur LAGARDERE des fins de la poursuite s'agis</w:t>
      </w:r>
      <w:r>
        <w:rPr>
          <w:rFonts w:cs="Theinhardt"/>
          <w:szCs w:val="21"/>
        </w:rPr>
        <w:t xml:space="preserve">sant du délit d'usage de stupéfiants en raison du conflit de qualification existant avec la conduite après avoir fait usage de stupéfiants ; </w:t>
      </w:r>
    </w:p>
    <w:p w:rsidR="00000000" w:rsidRDefault="00712BCE">
      <w:pPr>
        <w:rPr>
          <w:rFonts w:cs="Theinhardt"/>
          <w:szCs w:val="21"/>
        </w:rPr>
      </w:pPr>
    </w:p>
    <w:p w:rsidR="00000000" w:rsidRDefault="00712BCE">
      <w:pPr>
        <w:jc w:val="right"/>
      </w:pPr>
      <w:r>
        <w:rPr>
          <w:rFonts w:cs="Theinhardt"/>
          <w:b/>
          <w:bCs/>
          <w:szCs w:val="21"/>
        </w:rPr>
        <w:t>SOUS TOUTES RESERVES</w:t>
      </w:r>
    </w:p>
    <w:sectPr w:rsidR="0000000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020" w:right="1134" w:bottom="1394" w:left="1134" w:header="720" w:footer="1020" w:gutter="0"/>
      <w:cols w:space="720"/>
      <w:docGrid w:linePitch="600" w:charSpace="389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712BCE">
      <w:r>
        <w:separator/>
      </w:r>
    </w:p>
  </w:endnote>
  <w:endnote w:type="continuationSeparator" w:id="0">
    <w:p w:rsidR="00000000" w:rsidRDefault="00712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einhardt">
    <w:altName w:val="Yu Gothic"/>
    <w:charset w:val="80"/>
    <w:family w:val="swiss"/>
    <w:pitch w:val="variable"/>
  </w:font>
  <w:font w:name="Swiss">
    <w:charset w:val="0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BCE" w:rsidRDefault="00712BC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712BCE">
    <w:pPr>
      <w:pStyle w:val="Pieddepage"/>
      <w:jc w:val="right"/>
    </w:pPr>
    <w:r>
      <w:fldChar w:fldCharType="begin"/>
    </w:r>
    <w:r>
      <w:instrText xml:space="preserve"> PAGE </w:instrText>
    </w:r>
    <w:r>
      <w:fldChar w:fldCharType="separate"/>
    </w:r>
    <w:r>
      <w:t>8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BCE" w:rsidRDefault="00712BC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712BCE">
      <w:r>
        <w:separator/>
      </w:r>
    </w:p>
  </w:footnote>
  <w:footnote w:type="continuationSeparator" w:id="0">
    <w:p w:rsidR="00000000" w:rsidRDefault="00712B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BCE" w:rsidRDefault="00712BC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BCE" w:rsidRDefault="00712BC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BCE" w:rsidRDefault="00712BC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upperRoman"/>
      <w:suff w:val="space"/>
      <w:lvlText w:val="%2"/>
      <w:lvlJc w:val="left"/>
      <w:pPr>
        <w:tabs>
          <w:tab w:val="num" w:pos="0"/>
        </w:tabs>
        <w:ind w:left="578" w:hanging="578"/>
      </w:pPr>
    </w:lvl>
    <w:lvl w:ilvl="2">
      <w:start w:val="1"/>
      <w:numFmt w:val="upperLetter"/>
      <w:suff w:val="space"/>
      <w:lvlText w:val="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suff w:val="space"/>
      <w:lvlText w:val="%4"/>
      <w:lvlJc w:val="left"/>
      <w:pPr>
        <w:tabs>
          <w:tab w:val="num" w:pos="0"/>
        </w:tabs>
        <w:ind w:left="864" w:hanging="864"/>
      </w:pPr>
    </w:lvl>
    <w:lvl w:ilvl="4">
      <w:start w:val="1"/>
      <w:numFmt w:val="lowerLetter"/>
      <w:suff w:val="space"/>
      <w:lvlText w:val="%5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i w:val="0"/>
        <w:iCs w:val="0"/>
        <w:sz w:val="21"/>
        <w:szCs w:val="21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i w:val="0"/>
        <w:iCs w:val="0"/>
        <w:sz w:val="21"/>
        <w:szCs w:val="21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i w:val="0"/>
        <w:iCs w:val="0"/>
        <w:sz w:val="21"/>
        <w:szCs w:val="21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i w:val="0"/>
        <w:iCs w:val="0"/>
        <w:sz w:val="21"/>
        <w:szCs w:val="21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i w:val="0"/>
        <w:iCs w:val="0"/>
        <w:sz w:val="21"/>
        <w:szCs w:val="21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i w:val="0"/>
        <w:iCs w:val="0"/>
        <w:sz w:val="21"/>
        <w:szCs w:val="21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i w:val="0"/>
        <w:iCs w:val="0"/>
        <w:sz w:val="21"/>
        <w:szCs w:val="21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i w:val="0"/>
        <w:iCs w:val="0"/>
        <w:sz w:val="21"/>
        <w:szCs w:val="21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i w:val="0"/>
        <w:iCs w:val="0"/>
        <w:sz w:val="21"/>
        <w:szCs w:val="21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BCE"/>
    <w:rsid w:val="00712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  <w15:chartTrackingRefBased/>
  <w15:docId w15:val="{49AC1554-E7F6-DF45-8A4D-3F74AE02C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jc w:val="both"/>
    </w:pPr>
    <w:rPr>
      <w:rFonts w:ascii="Theinhardt" w:hAnsi="Theinhardt"/>
      <w:sz w:val="21"/>
      <w:szCs w:val="24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pBdr>
        <w:top w:val="single" w:sz="8" w:space="14" w:color="000000"/>
        <w:left w:val="single" w:sz="8" w:space="14" w:color="000000"/>
        <w:bottom w:val="single" w:sz="8" w:space="14" w:color="000000"/>
        <w:right w:val="single" w:sz="8" w:space="14" w:color="000000"/>
      </w:pBdr>
      <w:spacing w:after="170"/>
      <w:ind w:left="0" w:firstLine="0"/>
      <w:jc w:val="center"/>
      <w:outlineLvl w:val="0"/>
    </w:pPr>
    <w:rPr>
      <w:rFonts w:cs="Swiss"/>
      <w:b/>
      <w:sz w:val="3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238" w:after="176"/>
      <w:ind w:left="283" w:firstLine="0"/>
      <w:outlineLvl w:val="1"/>
    </w:pPr>
    <w:rPr>
      <w:u w:val="single"/>
    </w:rPr>
  </w:style>
  <w:style w:type="paragraph" w:styleId="Titre3">
    <w:name w:val="heading 3"/>
    <w:basedOn w:val="Titre10"/>
    <w:next w:val="Normal"/>
    <w:qFormat/>
    <w:pPr>
      <w:numPr>
        <w:ilvl w:val="2"/>
        <w:numId w:val="1"/>
      </w:numPr>
      <w:spacing w:before="227" w:after="176"/>
      <w:ind w:left="567" w:firstLine="0"/>
      <w:outlineLvl w:val="2"/>
    </w:pPr>
    <w:rPr>
      <w:rFonts w:cs="Times New Roman"/>
      <w:b w:val="0"/>
      <w:bCs/>
      <w:caps w:val="0"/>
    </w:rPr>
  </w:style>
  <w:style w:type="paragraph" w:styleId="Titre4">
    <w:name w:val="heading 4"/>
    <w:basedOn w:val="Titre10"/>
    <w:next w:val="Normal"/>
    <w:qFormat/>
    <w:pPr>
      <w:numPr>
        <w:ilvl w:val="3"/>
        <w:numId w:val="1"/>
      </w:numPr>
      <w:spacing w:before="227" w:after="176"/>
      <w:ind w:left="850" w:firstLine="0"/>
      <w:outlineLvl w:val="3"/>
    </w:pPr>
    <w:rPr>
      <w:b w:val="0"/>
      <w:bCs/>
      <w:iCs/>
      <w:caps w:val="0"/>
      <w:szCs w:val="24"/>
    </w:rPr>
  </w:style>
  <w:style w:type="paragraph" w:styleId="Titre5">
    <w:name w:val="heading 5"/>
    <w:basedOn w:val="Titre10"/>
    <w:next w:val="Normal"/>
    <w:qFormat/>
    <w:pPr>
      <w:numPr>
        <w:ilvl w:val="4"/>
        <w:numId w:val="1"/>
      </w:numPr>
      <w:spacing w:before="227" w:after="176"/>
      <w:ind w:left="1134" w:firstLine="0"/>
      <w:outlineLvl w:val="4"/>
    </w:pPr>
    <w:rPr>
      <w:b w:val="0"/>
      <w:bCs/>
      <w:caps w:val="0"/>
      <w:szCs w:val="24"/>
    </w:rPr>
  </w:style>
  <w:style w:type="paragraph" w:styleId="Titre6">
    <w:name w:val="heading 6"/>
    <w:basedOn w:val="Titre10"/>
    <w:next w:val="Corpsdetexte"/>
    <w:qFormat/>
    <w:pPr>
      <w:numPr>
        <w:ilvl w:val="5"/>
        <w:numId w:val="1"/>
      </w:numPr>
      <w:outlineLvl w:val="5"/>
    </w:pPr>
    <w:rPr>
      <w:bCs/>
      <w:sz w:val="16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  <w:i w:val="0"/>
      <w:iCs w:val="0"/>
      <w:sz w:val="21"/>
      <w:szCs w:val="21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5z0">
    <w:name w:val="WW8Num5z0"/>
    <w:rPr>
      <w:rFonts w:ascii="Theinhardt" w:hAnsi="Theinhardt" w:cs="OpenSymbol"/>
      <w:i w:val="0"/>
      <w:iCs w:val="0"/>
      <w:sz w:val="21"/>
      <w:szCs w:val="21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rFonts w:ascii="Symbol" w:hAnsi="Symbol" w:cs="OpenSymbol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5z1">
    <w:name w:val="WW8Num5z1"/>
    <w:rPr>
      <w:rFonts w:cs="Times New Roman"/>
    </w:rPr>
  </w:style>
  <w:style w:type="character" w:customStyle="1" w:styleId="WW8Num5z2">
    <w:name w:val="WW8Num5z2"/>
    <w:rPr>
      <w:rFonts w:ascii="OpenSymbol" w:hAnsi="OpenSymbol" w:cs="OpenSymbol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Policepardfaut1">
    <w:name w:val="Police par défaut1"/>
  </w:style>
  <w:style w:type="character" w:styleId="Numrodepage">
    <w:name w:val="page number"/>
    <w:basedOn w:val="Policepardfaut1"/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customStyle="1" w:styleId="Caractresdenumrotation">
    <w:name w:val="Caractères de numérotation"/>
  </w:style>
  <w:style w:type="character" w:styleId="Lienhypertexte">
    <w:name w:val="Hyperlink"/>
    <w:rPr>
      <w:color w:val="000080"/>
      <w:u w:val="single"/>
      <w:lang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10z0">
    <w:name w:val="WW8Num10z0"/>
    <w:rPr>
      <w:rFonts w:ascii="Times New Roman" w:eastAsia="Times New Roman" w:hAnsi="Times New Roman" w:cs="Times New Roman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styleId="lev">
    <w:name w:val="Strong"/>
    <w:qFormat/>
    <w:rPr>
      <w:b/>
      <w:bCs/>
    </w:rPr>
  </w:style>
  <w:style w:type="paragraph" w:customStyle="1" w:styleId="Titre10">
    <w:name w:val="Titre1"/>
    <w:basedOn w:val="Normal"/>
    <w:next w:val="Normal"/>
    <w:pPr>
      <w:keepNext/>
    </w:pPr>
    <w:rPr>
      <w:rFonts w:eastAsia="SimSun" w:cs="Tahoma"/>
      <w:b/>
      <w:caps/>
      <w:szCs w:val="28"/>
      <w:u w:val="single"/>
    </w:rPr>
  </w:style>
  <w:style w:type="paragraph" w:styleId="Corpsdetexte">
    <w:name w:val="Body Text"/>
    <w:basedOn w:val="Normal"/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Normal11pt">
    <w:name w:val="Normal + 11 pt"/>
    <w:basedOn w:val="Normal"/>
    <w:pPr>
      <w:ind w:left="720"/>
    </w:pPr>
    <w:rPr>
      <w:sz w:val="22"/>
      <w:szCs w:val="22"/>
    </w:rPr>
  </w:style>
  <w:style w:type="paragraph" w:customStyle="1" w:styleId="Contenuducadre">
    <w:name w:val="Contenu du cadre"/>
    <w:basedOn w:val="Corpsdetexte"/>
  </w:style>
  <w:style w:type="paragraph" w:styleId="En-tte">
    <w:name w:val="header"/>
    <w:basedOn w:val="Normal"/>
    <w:pPr>
      <w:suppressLineNumbers/>
      <w:tabs>
        <w:tab w:val="center" w:pos="4819"/>
        <w:tab w:val="right" w:pos="9638"/>
      </w:tabs>
    </w:pPr>
  </w:style>
  <w:style w:type="paragraph" w:styleId="TM1">
    <w:name w:val="toc 1"/>
    <w:basedOn w:val="Index"/>
    <w:pPr>
      <w:tabs>
        <w:tab w:val="right" w:leader="dot" w:pos="9072"/>
      </w:tabs>
    </w:pPr>
  </w:style>
  <w:style w:type="paragraph" w:styleId="TM2">
    <w:name w:val="toc 2"/>
    <w:basedOn w:val="Index"/>
    <w:pPr>
      <w:tabs>
        <w:tab w:val="right" w:leader="dot" w:pos="8789"/>
      </w:tabs>
      <w:ind w:left="283"/>
    </w:pPr>
  </w:style>
  <w:style w:type="paragraph" w:styleId="TM3">
    <w:name w:val="toc 3"/>
    <w:basedOn w:val="Index"/>
    <w:pPr>
      <w:tabs>
        <w:tab w:val="right" w:leader="dot" w:pos="8506"/>
      </w:tabs>
      <w:ind w:left="566"/>
    </w:pPr>
  </w:style>
  <w:style w:type="paragraph" w:styleId="NormalWeb">
    <w:name w:val="Normal (Web)"/>
    <w:basedOn w:val="Normal"/>
    <w:pPr>
      <w:spacing w:before="28" w:after="100" w:line="100" w:lineRule="atLeast"/>
    </w:pPr>
    <w:rPr>
      <w:rFonts w:ascii="Times New Roman" w:hAnsi="Times New Roman"/>
      <w:kern w:val="1"/>
      <w:sz w:val="24"/>
    </w:rPr>
  </w:style>
  <w:style w:type="paragraph" w:customStyle="1" w:styleId="WW-Standard">
    <w:name w:val="WW-Standard"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eastAsia="ar-S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24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 /><Relationship Id="rId13" Type="http://schemas.openxmlformats.org/officeDocument/2006/relationships/header" Target="header3.xml" /><Relationship Id="rId3" Type="http://schemas.openxmlformats.org/officeDocument/2006/relationships/settings" Target="settings.xml" /><Relationship Id="rId7" Type="http://schemas.openxmlformats.org/officeDocument/2006/relationships/image" Target="media/image1.jpeg" /><Relationship Id="rId12" Type="http://schemas.openxmlformats.org/officeDocument/2006/relationships/footer" Target="footer2.xml" /><Relationship Id="rId2" Type="http://schemas.openxmlformats.org/officeDocument/2006/relationships/styles" Target="styles.xml" /><Relationship Id="rId16" Type="http://schemas.openxmlformats.org/officeDocument/2006/relationships/theme" Target="theme/theme1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footer" Target="footer1.xml" /><Relationship Id="rId5" Type="http://schemas.openxmlformats.org/officeDocument/2006/relationships/footnotes" Target="footnotes.xml" /><Relationship Id="rId15" Type="http://schemas.openxmlformats.org/officeDocument/2006/relationships/fontTable" Target="fontTable.xml" /><Relationship Id="rId10" Type="http://schemas.openxmlformats.org/officeDocument/2006/relationships/header" Target="header2.xml" /><Relationship Id="rId4" Type="http://schemas.openxmlformats.org/officeDocument/2006/relationships/webSettings" Target="webSettings.xml" /><Relationship Id="rId9" Type="http://schemas.openxmlformats.org/officeDocument/2006/relationships/header" Target="header1.xml" /><Relationship Id="rId14" Type="http://schemas.openxmlformats.org/officeDocument/2006/relationships/footer" Target="footer3.xml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2703</Words>
  <Characters>14869</Characters>
  <Application>Microsoft Office Word</Application>
  <DocSecurity>0</DocSecurity>
  <Lines>123</Lines>
  <Paragraphs>35</Paragraphs>
  <ScaleCrop>false</ScaleCrop>
  <Company/>
  <LinksUpToDate>false</LinksUpToDate>
  <CharactersWithSpaces>17537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Dossier</dc:title>
  <dc:subject/>
  <dc:creator>Durand</dc:creator>
  <cp:keywords/>
  <cp:lastModifiedBy>Eve Leininger</cp:lastModifiedBy>
  <cp:revision>2</cp:revision>
  <cp:lastPrinted>2013-03-09T09:55:00Z</cp:lastPrinted>
  <dcterms:created xsi:type="dcterms:W3CDTF">2020-04-30T13:46:00Z</dcterms:created>
  <dcterms:modified xsi:type="dcterms:W3CDTF">2020-04-30T13:46:00Z</dcterms:modified>
</cp:coreProperties>
</file>